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350520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684" w:right="239" w:bottom="1440" w:gutter="0" w:footer="0" w:header="0"/>
        </w:sectPr>
      </w:pPr>
    </w:p>
    <w:p>
      <w:pPr>
        <w:spacing w:after="0" w:line="137" w:lineRule="exact"/>
        <w:rPr>
          <w:sz w:val="24"/>
          <w:szCs w:val="24"/>
          <w:color w:val="auto"/>
        </w:rPr>
      </w:pPr>
    </w:p>
    <w:p>
      <w:pPr>
        <w:jc w:val="center"/>
        <w:ind w:right="252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April 29,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2955290</wp:posOffset>
            </wp:positionH>
            <wp:positionV relativeFrom="paragraph">
              <wp:posOffset>34290</wp:posOffset>
            </wp:positionV>
            <wp:extent cx="1355090" cy="4889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55090" cy="4889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7320" w:space="720"/>
            <w:col w:w="3380"/>
          </w:cols>
          <w:pgMar w:left="240" w:top="684" w:right="239" w:bottom="144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684"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684"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55" w:lineRule="exact"/>
        <w:rPr>
          <w:sz w:val="24"/>
          <w:szCs w:val="24"/>
          <w:color w:val="auto"/>
        </w:rPr>
      </w:pPr>
    </w:p>
    <w:p>
      <w:pPr>
        <w:sectPr>
          <w:pgSz w:w="11900" w:h="16838" w:orient="portrait"/>
          <w:cols w:equalWidth="0" w:num="2">
            <w:col w:w="6560" w:space="720"/>
            <w:col w:w="4140"/>
          </w:cols>
          <w:pgMar w:left="240" w:top="684"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684" w:right="239" w:bottom="1440" w:gutter="0" w:footer="0" w:header="0"/>
          <w:type w:val="continuous"/>
        </w:sectPr>
      </w:pPr>
    </w:p>
    <w:p>
      <w:pPr>
        <w:spacing w:after="0" w:line="200" w:lineRule="exact"/>
        <w:rPr>
          <w:sz w:val="24"/>
          <w:szCs w:val="24"/>
          <w:color w:val="auto"/>
        </w:rPr>
      </w:pPr>
    </w:p>
    <w:p>
      <w:pPr>
        <w:spacing w:after="0" w:line="214"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84"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684"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(Do not check if a smaller reporting company)</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684"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84" w:right="239" w:bottom="1440" w:gutter="0" w:footer="0" w:header="0"/>
          <w:type w:val="continuous"/>
        </w:sectPr>
      </w:pPr>
    </w:p>
    <w:p>
      <w:pPr>
        <w:spacing w:after="0" w:line="13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380" w:lineRule="exact"/>
        <w:rPr>
          <w:sz w:val="24"/>
          <w:szCs w:val="24"/>
          <w:color w:val="auto"/>
        </w:rPr>
      </w:pPr>
    </w:p>
    <w:p>
      <w:pPr>
        <w:ind w:left="3000"/>
        <w:spacing w:after="0"/>
        <w:rPr>
          <w:sz w:val="20"/>
          <w:szCs w:val="20"/>
          <w:color w:val="auto"/>
        </w:rPr>
      </w:pPr>
      <w:r>
        <w:rPr>
          <w:rFonts w:ascii="Arial" w:cs="Arial" w:eastAsia="Arial" w:hAnsi="Arial"/>
          <w:sz w:val="18"/>
          <w:szCs w:val="18"/>
          <w:color w:val="auto"/>
        </w:rPr>
        <w:t>There were 300,645,629 shares of capital stock outstanding as of May 31, 2018.</w:t>
      </w:r>
    </w:p>
    <w:p>
      <w:pPr>
        <w:sectPr>
          <w:pgSz w:w="11900" w:h="16838" w:orient="portrait"/>
          <w:cols w:equalWidth="0" w:num="1">
            <w:col w:w="11420"/>
          </w:cols>
          <w:pgMar w:left="240" w:top="68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0">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30">
              <w:r>
                <w:rPr>
                  <w:rFonts w:ascii="Arial" w:cs="Arial" w:eastAsia="Arial" w:hAnsi="Arial"/>
                  <w:sz w:val="18"/>
                  <w:szCs w:val="18"/>
                  <w:color w:val="0000EE"/>
                  <w:w w:val="79"/>
                </w:rPr>
                <w:t>30</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4">
              <w:r>
                <w:rPr>
                  <w:rFonts w:ascii="Arial" w:cs="Arial" w:eastAsia="Arial" w:hAnsi="Arial"/>
                  <w:sz w:val="18"/>
                  <w:szCs w:val="18"/>
                  <w:color w:val="0000EE"/>
                </w:rPr>
                <w:t>Item 3. Quantitative and Qualitative Disclosure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4">
              <w:r>
                <w:rPr>
                  <w:rFonts w:ascii="Arial" w:cs="Arial" w:eastAsia="Arial" w:hAnsi="Arial"/>
                  <w:sz w:val="18"/>
                  <w:szCs w:val="18"/>
                  <w:color w:val="0000EE"/>
                </w:rPr>
                <w:t>Item 4. 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44">
              <w:r>
                <w:rPr>
                  <w:rFonts w:ascii="Arial" w:cs="Arial" w:eastAsia="Arial" w:hAnsi="Arial"/>
                  <w:sz w:val="18"/>
                  <w:szCs w:val="18"/>
                  <w:color w:val="0000EE"/>
                  <w:w w:val="79"/>
                </w:rPr>
                <w:t>44</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5">
              <w:r>
                <w:rPr>
                  <w:rFonts w:ascii="Arial" w:cs="Arial" w:eastAsia="Arial" w:hAnsi="Arial"/>
                  <w:sz w:val="18"/>
                  <w:szCs w:val="18"/>
                  <w:color w:val="0000EE"/>
                  <w:w w:val="94"/>
                </w:rPr>
                <w:t>Item 1.</w:t>
              </w:r>
            </w:hyperlink>
          </w:p>
        </w:tc>
        <w:tc>
          <w:tcPr>
            <w:tcW w:w="7520" w:type="dxa"/>
            <w:vAlign w:val="bottom"/>
            <w:gridSpan w:val="3"/>
          </w:tcPr>
          <w:p>
            <w:pPr>
              <w:ind w:left="20"/>
              <w:spacing w:after="0"/>
              <w:rPr>
                <w:rFonts w:ascii="Arial" w:cs="Arial" w:eastAsia="Arial" w:hAnsi="Arial"/>
                <w:sz w:val="18"/>
                <w:szCs w:val="18"/>
                <w:color w:val="0000EE"/>
              </w:rPr>
            </w:pPr>
            <w:hyperlink w:anchor="page45">
              <w:r>
                <w:rPr>
                  <w:rFonts w:ascii="Arial" w:cs="Arial" w:eastAsia="Arial" w:hAnsi="Arial"/>
                  <w:sz w:val="18"/>
                  <w:szCs w:val="18"/>
                  <w:color w:val="0000EE"/>
                </w:rPr>
                <w:t>Legal Proceedings</w:t>
              </w:r>
            </w:hyperlink>
          </w:p>
        </w:tc>
        <w:tc>
          <w:tcPr>
            <w:tcW w:w="1260" w:type="dxa"/>
            <w:vAlign w:val="bottom"/>
          </w:tcPr>
          <w:p>
            <w:pPr>
              <w:ind w:left="108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45">
              <w:r>
                <w:rPr>
                  <w:rFonts w:ascii="Arial" w:cs="Arial" w:eastAsia="Arial" w:hAnsi="Arial"/>
                  <w:sz w:val="18"/>
                  <w:szCs w:val="18"/>
                  <w:color w:val="0000EE"/>
                </w:rPr>
                <w:t>Item 1A. Risk Factors</w:t>
              </w:r>
            </w:hyperlink>
          </w:p>
        </w:tc>
        <w:tc>
          <w:tcPr>
            <w:tcW w:w="1260" w:type="dxa"/>
            <w:vAlign w:val="bottom"/>
          </w:tcPr>
          <w:p>
            <w:pPr>
              <w:ind w:left="1080"/>
              <w:spacing w:after="0"/>
              <w:rPr>
                <w:rFonts w:ascii="Arial" w:cs="Arial" w:eastAsia="Arial" w:hAnsi="Arial"/>
                <w:sz w:val="18"/>
                <w:szCs w:val="18"/>
                <w:color w:val="0000EE"/>
                <w:w w:val="79"/>
              </w:rPr>
            </w:pPr>
            <w:hyperlink w:anchor="page45">
              <w:r>
                <w:rPr>
                  <w:rFonts w:ascii="Arial" w:cs="Arial" w:eastAsia="Arial" w:hAnsi="Arial"/>
                  <w:sz w:val="18"/>
                  <w:szCs w:val="18"/>
                  <w:color w:val="0000EE"/>
                  <w:w w:val="79"/>
                </w:rPr>
                <w:t>45</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47">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47">
              <w:r>
                <w:rPr>
                  <w:rFonts w:ascii="Arial" w:cs="Arial" w:eastAsia="Arial" w:hAnsi="Arial"/>
                  <w:sz w:val="18"/>
                  <w:szCs w:val="18"/>
                  <w:color w:val="0000EE"/>
                  <w:w w:val="79"/>
                </w:rPr>
                <w:t>47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48">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48">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8">
              <w:r>
                <w:rPr>
                  <w:rFonts w:ascii="Arial" w:cs="Arial" w:eastAsia="Arial" w:hAnsi="Arial"/>
                  <w:sz w:val="18"/>
                  <w:szCs w:val="18"/>
                  <w:color w:val="0000EE"/>
                  <w:w w:val="79"/>
                </w:rPr>
                <w:t>48</w:t>
              </w:r>
            </w:hyperlink>
          </w:p>
        </w:tc>
      </w:tr>
      <w:tr>
        <w:trPr>
          <w:trHeight w:val="270"/>
        </w:trPr>
        <w:tc>
          <w:tcPr>
            <w:tcW w:w="1220" w:type="dxa"/>
            <w:vAlign w:val="bottom"/>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49">
              <w:r>
                <w:rPr>
                  <w:rFonts w:ascii="Arial" w:cs="Arial" w:eastAsia="Arial" w:hAnsi="Arial"/>
                  <w:sz w:val="18"/>
                  <w:szCs w:val="18"/>
                  <w:color w:val="0000EE"/>
                  <w:w w:val="79"/>
                </w:rPr>
                <w:t>49</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940" w:type="dxa"/>
            <w:vAlign w:val="bottom"/>
          </w:tcPr>
          <w:p>
            <w:pPr>
              <w:jc w:val="right"/>
              <w:ind w:right="232"/>
              <w:spacing w:after="0" w:line="153" w:lineRule="exact"/>
              <w:rPr>
                <w:sz w:val="20"/>
                <w:szCs w:val="20"/>
                <w:color w:val="auto"/>
              </w:rPr>
            </w:pPr>
            <w:r>
              <w:rPr>
                <w:rFonts w:ascii="Arial" w:cs="Arial" w:eastAsia="Arial" w:hAnsi="Arial"/>
                <w:sz w:val="14"/>
                <w:szCs w:val="14"/>
                <w:b w:val="1"/>
                <w:bCs w:val="1"/>
                <w:color w:val="auto"/>
              </w:rPr>
              <w:t>April 30,</w:t>
            </w:r>
          </w:p>
        </w:tc>
      </w:tr>
      <w:tr>
        <w:trPr>
          <w:trHeight w:val="192"/>
        </w:trPr>
        <w:tc>
          <w:tcPr>
            <w:tcW w:w="65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2,125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6,466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6,226</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4,299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3,899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679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682</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80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197</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5,266</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(loss) before interest and taxes</w:t>
            </w:r>
          </w:p>
        </w:tc>
        <w:tc>
          <w:tcPr>
            <w:tcW w:w="2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960</w:t>
            </w: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876</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307</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(loss)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Dividends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1.05</w:t>
            </w:r>
          </w:p>
        </w:tc>
      </w:tr>
      <w:tr>
        <w:trPr>
          <w:trHeight w:val="67"/>
        </w:trPr>
        <w:tc>
          <w:tcPr>
            <w:tcW w:w="65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306</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1.85</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0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306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308</w:t>
            </w:r>
          </w:p>
        </w:tc>
      </w:tr>
      <w:tr>
        <w:trPr>
          <w:trHeight w:val="27"/>
        </w:trPr>
        <w:tc>
          <w:tcPr>
            <w:tcW w:w="6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April 29, 2018</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April 30, 2017</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(59)</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cost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(53)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(448)</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gridSpan w:val="5"/>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7"/>
              </w:rPr>
              <w:t>April 29, 2018</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April 30, 2017</w:t>
            </w: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60" w:type="dxa"/>
            <w:vAlign w:val="bottom"/>
            <w:gridSpan w:val="3"/>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Tax</w:t>
            </w:r>
          </w:p>
        </w:tc>
        <w:tc>
          <w:tcPr>
            <w:tcW w:w="120" w:type="dxa"/>
            <w:vAlign w:val="bottom"/>
          </w:tcPr>
          <w:p>
            <w:pPr>
              <w:spacing w:after="0"/>
              <w:rPr>
                <w:sz w:val="13"/>
                <w:szCs w:val="13"/>
                <w:color w:val="auto"/>
              </w:rPr>
            </w:pPr>
          </w:p>
        </w:tc>
        <w:tc>
          <w:tcPr>
            <w:tcW w:w="760" w:type="dxa"/>
            <w:vAlign w:val="bottom"/>
            <w:vMerge w:val="restart"/>
          </w:tcPr>
          <w:p>
            <w:pPr>
              <w:jc w:val="center"/>
              <w:ind w:right="40"/>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4"/>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(expense)</w:t>
            </w:r>
          </w:p>
        </w:tc>
        <w:tc>
          <w:tcPr>
            <w:tcW w:w="12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Pr>
          <w:p>
            <w:pPr>
              <w:spacing w:after="0"/>
              <w:rPr>
                <w:sz w:val="16"/>
                <w:szCs w:val="16"/>
                <w:color w:val="auto"/>
              </w:rPr>
            </w:pPr>
          </w:p>
        </w:tc>
        <w:tc>
          <w:tcPr>
            <w:tcW w:w="760" w:type="dxa"/>
            <w:vAlign w:val="bottom"/>
          </w:tcPr>
          <w:p>
            <w:pPr>
              <w:jc w:val="center"/>
              <w:ind w:right="4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 (loss)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569</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6"/>
                <w:szCs w:val="16"/>
                <w:color w:val="auto"/>
              </w:rPr>
              <w:t>$</w:t>
            </w:r>
          </w:p>
        </w:tc>
        <w:tc>
          <w:tcPr>
            <w:tcW w:w="760" w:type="dxa"/>
            <w:vAlign w:val="bottom"/>
            <w:gridSpan w:val="3"/>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1"/>
              <w:spacing w:after="0"/>
              <w:rPr>
                <w:sz w:val="20"/>
                <w:szCs w:val="20"/>
                <w:color w:val="auto"/>
              </w:rPr>
            </w:pPr>
            <w:r>
              <w:rPr>
                <w:rFonts w:ascii="Arial" w:cs="Arial" w:eastAsia="Arial" w:hAnsi="Arial"/>
                <w:sz w:val="16"/>
                <w:szCs w:val="16"/>
                <w:b w:val="1"/>
                <w:bCs w:val="1"/>
                <w:color w:val="auto"/>
              </w:rPr>
              <w:t>22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32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ind w:right="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Prior service cost arising during the period</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Pr>
          <w:p>
            <w:pPr>
              <w:spacing w:after="0"/>
              <w:rPr>
                <w:sz w:val="20"/>
                <w:szCs w:val="20"/>
                <w:color w:val="auto"/>
              </w:rPr>
            </w:pPr>
          </w:p>
        </w:tc>
        <w:tc>
          <w:tcPr>
            <w:tcW w:w="680" w:type="dxa"/>
            <w:vAlign w:val="bottom"/>
          </w:tcPr>
          <w:p>
            <w:pPr>
              <w:jc w:val="right"/>
              <w:ind w:right="1"/>
              <w:spacing w:after="0"/>
              <w:rPr>
                <w:sz w:val="20"/>
                <w:szCs w:val="20"/>
                <w:color w:val="auto"/>
              </w:rPr>
            </w:pPr>
            <w:r>
              <w:rPr>
                <w:rFonts w:ascii="Arial" w:cs="Arial" w:eastAsia="Arial" w:hAnsi="Arial"/>
                <w:sz w:val="16"/>
                <w:szCs w:val="16"/>
                <w:b w:val="1"/>
                <w:bCs w:val="1"/>
                <w:color w:val="auto"/>
              </w:rPr>
              <w:t>(20)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1"/>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b w:val="1"/>
                <w:bCs w:val="1"/>
                <w:color w:val="auto"/>
              </w:rPr>
              <w:t>(23)</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143</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556</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144</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555</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April 29,</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30,</w:t>
            </w:r>
          </w:p>
        </w:tc>
      </w:tr>
      <w:tr>
        <w:trPr>
          <w:trHeight w:val="192"/>
        </w:trPr>
        <w:tc>
          <w:tcPr>
            <w:tcW w:w="74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199</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319</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873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1,076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902</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181</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2,329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1,900</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3,174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2,454</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4,608</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2,115</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4,273</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 ($69 as of 2018 and $51 as of 2017 attributable to variable interest entity)</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182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139</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14,566</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7,726</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4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1,763</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848</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666</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671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561</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111</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3,403</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2,395</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8,080</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2,499</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936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490</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4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736</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13,155</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6,081</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4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336</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400" w:type="dxa"/>
            <w:vAlign w:val="bottom"/>
          </w:tcPr>
          <w:p>
            <w:pPr>
              <w:spacing w:after="0"/>
              <w:rPr>
                <w:sz w:val="21"/>
                <w:szCs w:val="21"/>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2,236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2,385</w:t>
            </w:r>
          </w:p>
        </w:tc>
      </w:tr>
      <w:tr>
        <w:trPr>
          <w:trHeight w:val="27"/>
        </w:trPr>
        <w:tc>
          <w:tcPr>
            <w:tcW w:w="74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4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(1,104)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40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b w:val="1"/>
                <w:bCs w:val="1"/>
                <w:color w:val="auto"/>
              </w:rPr>
              <w:t>(76)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1,404</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1,637</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4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7</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4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1,411</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1,645</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18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14,566</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7,726</w:t>
            </w:r>
          </w:p>
        </w:tc>
      </w:tr>
      <w:tr>
        <w:trPr>
          <w:trHeight w:val="27"/>
        </w:trPr>
        <w:tc>
          <w:tcPr>
            <w:tcW w:w="74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7420" w:type="dxa"/>
            <w:vAlign w:val="bottom"/>
          </w:tcPr>
          <w:p>
            <w:pPr>
              <w:ind w:left="5660"/>
              <w:spacing w:after="0"/>
              <w:rPr>
                <w:sz w:val="20"/>
                <w:szCs w:val="20"/>
                <w:color w:val="auto"/>
              </w:rPr>
            </w:pPr>
            <w:r>
              <w:rPr>
                <w:rFonts w:ascii="Arial" w:cs="Arial" w:eastAsia="Arial" w:hAnsi="Arial"/>
                <w:sz w:val="18"/>
                <w:szCs w:val="18"/>
                <w:color w:val="auto"/>
              </w:rPr>
              <w:t>5</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443"/>
              <w:spacing w:after="0"/>
              <w:rPr>
                <w:sz w:val="20"/>
                <w:szCs w:val="20"/>
                <w:color w:val="auto"/>
              </w:rPr>
            </w:pPr>
            <w:r>
              <w:rPr>
                <w:rFonts w:ascii="Arial" w:cs="Arial" w:eastAsia="Arial" w:hAnsi="Arial"/>
                <w:sz w:val="14"/>
                <w:szCs w:val="14"/>
                <w:b w:val="1"/>
                <w:bCs w:val="1"/>
                <w:color w:val="auto"/>
              </w:rPr>
              <w:t>Nine Months Ended</w:t>
            </w:r>
          </w:p>
        </w:tc>
        <w:tc>
          <w:tcPr>
            <w:tcW w:w="500" w:type="dxa"/>
            <w:vAlign w:val="bottom"/>
            <w:tcBorders>
              <w:bottom w:val="single" w:sz="8" w:color="auto"/>
            </w:tcBorders>
          </w:tcPr>
          <w:p>
            <w:pPr>
              <w:spacing w:after="0"/>
              <w:rPr>
                <w:sz w:val="16"/>
                <w:szCs w:val="16"/>
                <w:color w:val="auto"/>
              </w:rPr>
            </w:pPr>
          </w:p>
        </w:tc>
      </w:tr>
      <w:tr>
        <w:trPr>
          <w:trHeight w:val="152"/>
        </w:trPr>
        <w:tc>
          <w:tcPr>
            <w:tcW w:w="8120" w:type="dxa"/>
            <w:vAlign w:val="bottom"/>
          </w:tcPr>
          <w:p>
            <w:pPr>
              <w:spacing w:after="0"/>
              <w:rPr>
                <w:sz w:val="13"/>
                <w:szCs w:val="13"/>
                <w:color w:val="auto"/>
              </w:rPr>
            </w:pPr>
          </w:p>
        </w:tc>
        <w:tc>
          <w:tcPr>
            <w:tcW w:w="10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29,</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500" w:type="dxa"/>
            <w:vAlign w:val="bottom"/>
          </w:tcPr>
          <w:p>
            <w:pPr>
              <w:spacing w:after="0"/>
              <w:rPr>
                <w:sz w:val="13"/>
                <w:szCs w:val="13"/>
                <w:color w:val="auto"/>
              </w:rPr>
            </w:pPr>
          </w:p>
        </w:tc>
      </w:tr>
      <w:tr>
        <w:trPr>
          <w:trHeight w:val="192"/>
        </w:trPr>
        <w:tc>
          <w:tcPr>
            <w:tcW w:w="8120" w:type="dxa"/>
            <w:vAlign w:val="bottom"/>
            <w:tcBorders>
              <w:bottom w:val="single" w:sz="8" w:color="BFE4FF"/>
            </w:tcBorders>
          </w:tcPr>
          <w:p>
            <w:pPr>
              <w:spacing w:after="0"/>
              <w:rPr>
                <w:sz w:val="16"/>
                <w:szCs w:val="16"/>
                <w:color w:val="auto"/>
              </w:rPr>
            </w:pPr>
          </w:p>
        </w:tc>
        <w:tc>
          <w:tcPr>
            <w:tcW w:w="1060" w:type="dxa"/>
            <w:vAlign w:val="bottom"/>
            <w:tcBorders>
              <w:bottom w:val="single" w:sz="8" w:color="auto"/>
            </w:tcBorders>
          </w:tcPr>
          <w:p>
            <w:pPr>
              <w:jc w:val="right"/>
              <w:ind w:right="44"/>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BFE4FF"/>
            </w:tcBorders>
          </w:tcPr>
          <w:p>
            <w:pPr>
              <w:spacing w:after="0"/>
              <w:rPr>
                <w:sz w:val="16"/>
                <w:szCs w:val="16"/>
                <w:color w:val="auto"/>
              </w:rPr>
            </w:pP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r>
      <w:tr>
        <w:trPr>
          <w:trHeight w:val="210"/>
        </w:trPr>
        <w:tc>
          <w:tcPr>
            <w:tcW w:w="8120" w:type="dxa"/>
            <w:vAlign w:val="bottom"/>
            <w:shd w:val="clear" w:color="auto" w:fill="BFE4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BFE4FF"/>
          </w:tcPr>
          <w:p>
            <w:pPr>
              <w:spacing w:after="0"/>
              <w:rPr>
                <w:sz w:val="18"/>
                <w:szCs w:val="18"/>
                <w:color w:val="auto"/>
              </w:rPr>
            </w:pPr>
          </w:p>
        </w:tc>
        <w:tc>
          <w:tcPr>
            <w:tcW w:w="560" w:type="dxa"/>
            <w:vAlign w:val="bottom"/>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1080" w:type="dxa"/>
            <w:vAlign w:val="bottom"/>
            <w:shd w:val="clear" w:color="auto" w:fill="BFE4FF"/>
          </w:tcPr>
          <w:p>
            <w:pPr>
              <w:spacing w:after="0"/>
              <w:rPr>
                <w:sz w:val="18"/>
                <w:szCs w:val="18"/>
                <w:color w:val="auto"/>
              </w:rPr>
            </w:pPr>
          </w:p>
        </w:tc>
        <w:tc>
          <w:tcPr>
            <w:tcW w:w="500" w:type="dxa"/>
            <w:vAlign w:val="bottom"/>
            <w:shd w:val="clear" w:color="auto" w:fill="BFE4FF"/>
          </w:tcPr>
          <w:p>
            <w:pPr>
              <w:spacing w:after="0"/>
              <w:rPr>
                <w:sz w:val="18"/>
                <w:szCs w:val="18"/>
                <w:color w:val="auto"/>
              </w:rPr>
            </w:pPr>
          </w:p>
        </w:tc>
      </w:tr>
      <w:tr>
        <w:trPr>
          <w:trHeight w:val="60"/>
        </w:trPr>
        <w:tc>
          <w:tcPr>
            <w:tcW w:w="8120" w:type="dxa"/>
            <w:vAlign w:val="bottom"/>
            <w:shd w:val="clear" w:color="auto" w:fill="BFE4FF"/>
          </w:tcPr>
          <w:p>
            <w:pPr>
              <w:spacing w:after="0"/>
              <w:rPr>
                <w:sz w:val="5"/>
                <w:szCs w:val="5"/>
                <w:color w:val="auto"/>
              </w:rPr>
            </w:pPr>
          </w:p>
        </w:tc>
        <w:tc>
          <w:tcPr>
            <w:tcW w:w="1060" w:type="dxa"/>
            <w:vAlign w:val="bottom"/>
            <w:shd w:val="clear" w:color="auto" w:fill="BFE4FF"/>
          </w:tcPr>
          <w:p>
            <w:pPr>
              <w:spacing w:after="0"/>
              <w:rPr>
                <w:sz w:val="5"/>
                <w:szCs w:val="5"/>
                <w:color w:val="auto"/>
              </w:rPr>
            </w:pPr>
          </w:p>
        </w:tc>
        <w:tc>
          <w:tcPr>
            <w:tcW w:w="560" w:type="dxa"/>
            <w:vAlign w:val="bottom"/>
            <w:shd w:val="clear" w:color="auto" w:fill="BFE4FF"/>
          </w:tcPr>
          <w:p>
            <w:pPr>
              <w:spacing w:after="0"/>
              <w:rPr>
                <w:sz w:val="5"/>
                <w:szCs w:val="5"/>
                <w:color w:val="auto"/>
              </w:rPr>
            </w:pPr>
          </w:p>
        </w:tc>
        <w:tc>
          <w:tcPr>
            <w:tcW w:w="100" w:type="dxa"/>
            <w:vAlign w:val="bottom"/>
            <w:shd w:val="clear" w:color="auto" w:fill="BFE4FF"/>
          </w:tcPr>
          <w:p>
            <w:pPr>
              <w:spacing w:after="0"/>
              <w:rPr>
                <w:sz w:val="5"/>
                <w:szCs w:val="5"/>
                <w:color w:val="auto"/>
              </w:rPr>
            </w:pPr>
          </w:p>
        </w:tc>
        <w:tc>
          <w:tcPr>
            <w:tcW w:w="1080" w:type="dxa"/>
            <w:vAlign w:val="bottom"/>
            <w:shd w:val="clear" w:color="auto" w:fill="BFE4FF"/>
          </w:tcPr>
          <w:p>
            <w:pPr>
              <w:spacing w:after="0"/>
              <w:rPr>
                <w:sz w:val="5"/>
                <w:szCs w:val="5"/>
                <w:color w:val="auto"/>
              </w:rPr>
            </w:pPr>
          </w:p>
        </w:tc>
        <w:tc>
          <w:tcPr>
            <w:tcW w:w="500" w:type="dxa"/>
            <w:vAlign w:val="bottom"/>
            <w:shd w:val="clear" w:color="auto" w:fill="BFE4FF"/>
          </w:tcPr>
          <w:p>
            <w:pPr>
              <w:spacing w:after="0"/>
              <w:rPr>
                <w:sz w:val="5"/>
                <w:szCs w:val="5"/>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earnings</w:t>
            </w:r>
          </w:p>
        </w:tc>
        <w:tc>
          <w:tcPr>
            <w:tcW w:w="1060" w:type="dxa"/>
            <w:vAlign w:val="bottom"/>
          </w:tcPr>
          <w:p>
            <w:pPr>
              <w:jc w:val="right"/>
              <w:ind w:right="884"/>
              <w:spacing w:after="0"/>
              <w:rPr>
                <w:sz w:val="20"/>
                <w:szCs w:val="20"/>
                <w:color w:val="auto"/>
              </w:rPr>
            </w:pPr>
            <w:r>
              <w:rPr>
                <w:rFonts w:ascii="Arial" w:cs="Arial" w:eastAsia="Arial" w:hAnsi="Arial"/>
                <w:sz w:val="16"/>
                <w:szCs w:val="16"/>
                <w:b w:val="1"/>
                <w:bCs w:val="1"/>
                <w:color w:val="auto"/>
                <w:w w:val="89"/>
              </w:rPr>
              <w:t>$</w:t>
            </w: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167</w:t>
            </w:r>
          </w:p>
        </w:tc>
        <w:tc>
          <w:tcPr>
            <w:tcW w:w="100" w:type="dxa"/>
            <w:vAlign w:val="bottom"/>
          </w:tcPr>
          <w:p>
            <w:pPr>
              <w:spacing w:after="0"/>
              <w:rPr>
                <w:sz w:val="20"/>
                <w:szCs w:val="20"/>
                <w:color w:val="auto"/>
              </w:rPr>
            </w:pPr>
          </w:p>
        </w:tc>
        <w:tc>
          <w:tcPr>
            <w:tcW w:w="1080" w:type="dxa"/>
            <w:vAlign w:val="bottom"/>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569</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Adjustments to reconcile net earnings to operating cash flow</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Impairment charges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694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212</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Restructuring charges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59</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Stock-based compensation</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48</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48</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Noncurrent income taxes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52</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Amortization of inventory fair value adjustment from acquisition</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37</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Pension and postretirement benefit income</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(48)</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(35)</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266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234</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Deferred income taxes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(192)</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11</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Other, net</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10</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15</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Changes in working capital, net of acquisitions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Accounts receivable</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1</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Inventories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50</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144</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Prepaid assets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(20)</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6"/>
                <w:szCs w:val="16"/>
                <w:color w:val="auto"/>
              </w:rPr>
              <w:t>Accounts payable and accrued liabilities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26</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(116)</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Other</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(52)</w:t>
            </w:r>
          </w:p>
        </w:tc>
      </w:tr>
      <w:tr>
        <w:trPr>
          <w:trHeight w:val="33"/>
        </w:trPr>
        <w:tc>
          <w:tcPr>
            <w:tcW w:w="8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b w:val="1"/>
                <w:bCs w:val="1"/>
                <w:color w:val="auto"/>
              </w:rPr>
              <w:t>Net cash provided by operating activities</w:t>
            </w:r>
          </w:p>
        </w:tc>
        <w:tc>
          <w:tcPr>
            <w:tcW w:w="106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1,024</w:t>
            </w:r>
          </w:p>
        </w:tc>
        <w:tc>
          <w:tcPr>
            <w:tcW w:w="10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w w:val="94"/>
              </w:rPr>
              <w:t>1,011</w:t>
            </w:r>
          </w:p>
        </w:tc>
      </w:tr>
      <w:tr>
        <w:trPr>
          <w:trHeight w:val="217"/>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r>
      <w:tr>
        <w:trPr>
          <w:trHeight w:val="47"/>
        </w:trPr>
        <w:tc>
          <w:tcPr>
            <w:tcW w:w="81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00" w:type="dxa"/>
            <w:vAlign w:val="bottom"/>
          </w:tcPr>
          <w:p>
            <w:pPr>
              <w:spacing w:after="0"/>
              <w:rPr>
                <w:sz w:val="4"/>
                <w:szCs w:val="4"/>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Purchases of plant assets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(223)</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(195)</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Purchases of route businesses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Sales of route businesses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Businesses acquired, net of cash acquired</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w w:val="90"/>
              </w:rPr>
              <w:t>(6,773)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75"/>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Other, net</w:t>
            </w:r>
          </w:p>
        </w:tc>
        <w:tc>
          <w:tcPr>
            <w:tcW w:w="1060" w:type="dxa"/>
            <w:vAlign w:val="bottom"/>
            <w:tcBorders>
              <w:bottom w:val="single" w:sz="8" w:color="BFE4FF"/>
            </w:tcBorders>
            <w:shd w:val="clear" w:color="auto" w:fill="BFE4FF"/>
          </w:tcPr>
          <w:p>
            <w:pPr>
              <w:spacing w:after="0"/>
              <w:rPr>
                <w:sz w:val="23"/>
                <w:szCs w:val="23"/>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(12)</w:t>
            </w:r>
          </w:p>
        </w:tc>
        <w:tc>
          <w:tcPr>
            <w:tcW w:w="100" w:type="dxa"/>
            <w:vAlign w:val="bottom"/>
            <w:tcBorders>
              <w:bottom w:val="single" w:sz="8" w:color="BFE4FF"/>
            </w:tcBorders>
            <w:shd w:val="clear" w:color="auto" w:fill="BFE4FF"/>
          </w:tcPr>
          <w:p>
            <w:pPr>
              <w:spacing w:after="0"/>
              <w:rPr>
                <w:sz w:val="23"/>
                <w:szCs w:val="23"/>
                <w:color w:val="auto"/>
              </w:rPr>
            </w:pPr>
          </w:p>
        </w:tc>
        <w:tc>
          <w:tcPr>
            <w:tcW w:w="1080" w:type="dxa"/>
            <w:vAlign w:val="bottom"/>
            <w:tcBorders>
              <w:bottom w:val="single" w:sz="8" w:color="BFE4FF"/>
            </w:tcBorders>
            <w:shd w:val="clear" w:color="auto" w:fill="BFE4FF"/>
          </w:tcPr>
          <w:p>
            <w:pPr>
              <w:spacing w:after="0"/>
              <w:rPr>
                <w:sz w:val="23"/>
                <w:szCs w:val="23"/>
                <w:color w:val="auto"/>
              </w:rPr>
            </w:pP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(14)</w:t>
            </w:r>
          </w:p>
        </w:tc>
      </w:tr>
      <w:tr>
        <w:trPr>
          <w:trHeight w:val="231"/>
        </w:trPr>
        <w:tc>
          <w:tcPr>
            <w:tcW w:w="812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10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90"/>
              </w:rPr>
              <w:t>(7,008)</w:t>
            </w: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w:t>
            </w:r>
          </w:p>
        </w:tc>
      </w:tr>
      <w:tr>
        <w:trPr>
          <w:trHeight w:val="33"/>
        </w:trPr>
        <w:tc>
          <w:tcPr>
            <w:tcW w:w="8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spacing w:after="0"/>
              <w:rPr>
                <w:sz w:val="21"/>
                <w:szCs w:val="21"/>
                <w:color w:val="auto"/>
              </w:rPr>
            </w:pP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Net short-term borrowings (repayments)</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234</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Long-term borrowings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6,200</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Long-term repayments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(76)</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Dividends paid</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(321)</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(314)</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Treasury stock purchases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(86)</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(305)</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Treasury stock issuances</w:t>
            </w:r>
          </w:p>
        </w:tc>
        <w:tc>
          <w:tcPr>
            <w:tcW w:w="1060" w:type="dxa"/>
            <w:vAlign w:val="bottom"/>
            <w:tcBorders>
              <w:bottom w:val="single" w:sz="8" w:color="BFE4FF"/>
            </w:tcBorders>
            <w:shd w:val="clear" w:color="auto" w:fill="BFE4FF"/>
          </w:tcPr>
          <w:p>
            <w:pPr>
              <w:spacing w:after="0"/>
              <w:rPr>
                <w:sz w:val="21"/>
                <w:szCs w:val="21"/>
                <w:color w:val="auto"/>
              </w:rPr>
            </w:pPr>
          </w:p>
        </w:tc>
        <w:tc>
          <w:tcPr>
            <w:tcW w:w="660" w:type="dxa"/>
            <w:vAlign w:val="bottom"/>
            <w:tcBorders>
              <w:bottom w:val="single" w:sz="8" w:color="BFE4FF"/>
            </w:tcBorders>
            <w:gridSpan w:val="2"/>
            <w:shd w:val="clear" w:color="auto" w:fill="BFE4FF"/>
          </w:tcPr>
          <w:p>
            <w:pPr>
              <w:jc w:val="right"/>
              <w:ind w:right="220"/>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2</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(23)</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(21)</w:t>
            </w:r>
          </w:p>
        </w:tc>
      </w:tr>
      <w:tr>
        <w:trPr>
          <w:trHeight w:val="33"/>
        </w:trPr>
        <w:tc>
          <w:tcPr>
            <w:tcW w:w="8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50"/>
        </w:trPr>
        <w:tc>
          <w:tcPr>
            <w:tcW w:w="81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Repurchase of noncontrolling interest</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8120" w:type="dxa"/>
            <w:vAlign w:val="bottom"/>
          </w:tcPr>
          <w:p>
            <w:pPr>
              <w:ind w:left="180"/>
              <w:spacing w:after="0"/>
              <w:rPr>
                <w:sz w:val="20"/>
                <w:szCs w:val="20"/>
                <w:color w:val="auto"/>
              </w:rPr>
            </w:pPr>
            <w:r>
              <w:rPr>
                <w:rFonts w:ascii="Arial" w:cs="Arial" w:eastAsia="Arial" w:hAnsi="Arial"/>
                <w:sz w:val="16"/>
                <w:szCs w:val="16"/>
                <w:color w:val="auto"/>
              </w:rPr>
              <w:t>Payments of debt issuance costs</w:t>
            </w:r>
          </w:p>
        </w:tc>
        <w:tc>
          <w:tcPr>
            <w:tcW w:w="106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6"/>
                <w:szCs w:val="16"/>
                <w:b w:val="1"/>
                <w:bCs w:val="1"/>
                <w:color w:val="auto"/>
              </w:rPr>
              <w:t>(49)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8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600"/>
              <w:spacing w:after="0"/>
              <w:rPr>
                <w:sz w:val="20"/>
                <w:szCs w:val="20"/>
                <w:color w:val="auto"/>
              </w:rPr>
            </w:pPr>
            <w:r>
              <w:rPr>
                <w:rFonts w:ascii="Arial" w:cs="Arial" w:eastAsia="Arial" w:hAnsi="Arial"/>
                <w:sz w:val="16"/>
                <w:szCs w:val="16"/>
                <w:b w:val="1"/>
                <w:bCs w:val="1"/>
                <w:color w:val="auto"/>
              </w:rPr>
              <w:t>Net cash provided by (used in) financing activities</w:t>
            </w:r>
          </w:p>
        </w:tc>
        <w:tc>
          <w:tcPr>
            <w:tcW w:w="1060" w:type="dxa"/>
            <w:vAlign w:val="bottom"/>
            <w:tcBorders>
              <w:bottom w:val="single" w:sz="8" w:color="BFE4FF"/>
            </w:tcBorders>
            <w:shd w:val="clear" w:color="auto" w:fill="BFE4FF"/>
          </w:tcPr>
          <w:p>
            <w:pPr>
              <w:spacing w:after="0"/>
              <w:rPr>
                <w:sz w:val="22"/>
                <w:szCs w:val="22"/>
                <w:color w:val="auto"/>
              </w:rPr>
            </w:pP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5,865</w:t>
            </w:r>
          </w:p>
        </w:tc>
        <w:tc>
          <w:tcPr>
            <w:tcW w:w="10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spacing w:after="0"/>
              <w:rPr>
                <w:sz w:val="22"/>
                <w:szCs w:val="22"/>
                <w:color w:val="auto"/>
              </w:rPr>
            </w:pPr>
          </w:p>
        </w:tc>
        <w:tc>
          <w:tcPr>
            <w:tcW w:w="5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(780)</w:t>
            </w:r>
          </w:p>
        </w:tc>
      </w:tr>
      <w:tr>
        <w:trPr>
          <w:trHeight w:val="231"/>
        </w:trPr>
        <w:tc>
          <w:tcPr>
            <w:tcW w:w="81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106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8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1060" w:type="dxa"/>
            <w:vAlign w:val="bottom"/>
            <w:tcBorders>
              <w:bottom w:val="single" w:sz="8" w:color="BFE4FF"/>
            </w:tcBorders>
            <w:shd w:val="clear" w:color="auto" w:fill="BFE4FF"/>
          </w:tcPr>
          <w:p>
            <w:pPr>
              <w:spacing w:after="0"/>
              <w:rPr>
                <w:sz w:val="21"/>
                <w:szCs w:val="21"/>
                <w:color w:val="auto"/>
              </w:rPr>
            </w:pPr>
          </w:p>
        </w:tc>
        <w:tc>
          <w:tcPr>
            <w:tcW w:w="5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(120)</w:t>
            </w:r>
          </w:p>
        </w:tc>
        <w:tc>
          <w:tcPr>
            <w:tcW w:w="100" w:type="dxa"/>
            <w:vAlign w:val="bottom"/>
            <w:tcBorders>
              <w:bottom w:val="single" w:sz="8" w:color="BFE4FF"/>
            </w:tcBorders>
            <w:shd w:val="clear" w:color="auto" w:fill="BFE4FF"/>
          </w:tcPr>
          <w:p>
            <w:pPr>
              <w:spacing w:after="0"/>
              <w:rPr>
                <w:sz w:val="21"/>
                <w:szCs w:val="21"/>
                <w:color w:val="auto"/>
              </w:rPr>
            </w:pPr>
          </w:p>
        </w:tc>
        <w:tc>
          <w:tcPr>
            <w:tcW w:w="1080" w:type="dxa"/>
            <w:vAlign w:val="bottom"/>
            <w:tcBorders>
              <w:bottom w:val="single" w:sz="8" w:color="BFE4FF"/>
            </w:tcBorders>
            <w:shd w:val="clear" w:color="auto" w:fill="BFE4FF"/>
          </w:tcPr>
          <w:p>
            <w:pPr>
              <w:spacing w:after="0"/>
              <w:rPr>
                <w:sz w:val="21"/>
                <w:szCs w:val="21"/>
                <w:color w:val="auto"/>
              </w:rPr>
            </w:pP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17</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1060" w:type="dxa"/>
            <w:vAlign w:val="bottom"/>
          </w:tcPr>
          <w:p>
            <w:pPr>
              <w:spacing w:after="0"/>
              <w:rPr>
                <w:sz w:val="20"/>
                <w:szCs w:val="20"/>
                <w:color w:val="auto"/>
              </w:rPr>
            </w:pPr>
          </w:p>
        </w:tc>
        <w:tc>
          <w:tcPr>
            <w:tcW w:w="560" w:type="dxa"/>
            <w:vAlign w:val="bottom"/>
          </w:tcPr>
          <w:p>
            <w:pPr>
              <w:jc w:val="right"/>
              <w:ind w:right="39"/>
              <w:spacing w:after="0"/>
              <w:rPr>
                <w:sz w:val="20"/>
                <w:szCs w:val="20"/>
                <w:color w:val="auto"/>
              </w:rPr>
            </w:pPr>
            <w:r>
              <w:rPr>
                <w:rFonts w:ascii="Arial" w:cs="Arial" w:eastAsia="Arial" w:hAnsi="Arial"/>
                <w:sz w:val="16"/>
                <w:szCs w:val="16"/>
                <w:b w:val="1"/>
                <w:bCs w:val="1"/>
                <w:color w:val="auto"/>
              </w:rPr>
              <w:t>319</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jc w:val="right"/>
              <w:ind w:right="19"/>
              <w:spacing w:after="0"/>
              <w:rPr>
                <w:sz w:val="20"/>
                <w:szCs w:val="20"/>
                <w:color w:val="auto"/>
              </w:rPr>
            </w:pPr>
            <w:r>
              <w:rPr>
                <w:rFonts w:ascii="Arial" w:cs="Arial" w:eastAsia="Arial" w:hAnsi="Arial"/>
                <w:sz w:val="16"/>
                <w:szCs w:val="16"/>
                <w:color w:val="auto"/>
              </w:rPr>
              <w:t>296</w:t>
            </w:r>
          </w:p>
        </w:tc>
      </w:tr>
      <w:tr>
        <w:trPr>
          <w:trHeight w:val="33"/>
        </w:trPr>
        <w:tc>
          <w:tcPr>
            <w:tcW w:w="8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r>
      <w:tr>
        <w:trPr>
          <w:trHeight w:val="269"/>
        </w:trPr>
        <w:tc>
          <w:tcPr>
            <w:tcW w:w="812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1060" w:type="dxa"/>
            <w:vAlign w:val="bottom"/>
            <w:tcBorders>
              <w:bottom w:val="single" w:sz="8" w:color="BFE4FF"/>
            </w:tcBorders>
            <w:shd w:val="clear" w:color="auto" w:fill="BFE4FF"/>
          </w:tcPr>
          <w:p>
            <w:pPr>
              <w:jc w:val="right"/>
              <w:ind w:right="884"/>
              <w:spacing w:after="0"/>
              <w:rPr>
                <w:sz w:val="20"/>
                <w:szCs w:val="20"/>
                <w:color w:val="auto"/>
              </w:rPr>
            </w:pPr>
            <w:r>
              <w:rPr>
                <w:rFonts w:ascii="Arial" w:cs="Arial" w:eastAsia="Arial" w:hAnsi="Arial"/>
                <w:sz w:val="16"/>
                <w:szCs w:val="16"/>
                <w:b w:val="1"/>
                <w:bCs w:val="1"/>
                <w:color w:val="auto"/>
                <w:w w:val="89"/>
              </w:rPr>
              <w:t>$</w:t>
            </w:r>
          </w:p>
        </w:tc>
        <w:tc>
          <w:tcPr>
            <w:tcW w:w="560" w:type="dxa"/>
            <w:vAlign w:val="bottom"/>
            <w:tcBorders>
              <w:bottom w:val="single" w:sz="8" w:color="BFE4FF"/>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199</w:t>
            </w:r>
          </w:p>
        </w:tc>
        <w:tc>
          <w:tcPr>
            <w:tcW w:w="100" w:type="dxa"/>
            <w:vAlign w:val="bottom"/>
            <w:tcBorders>
              <w:bottom w:val="single" w:sz="8" w:color="BFE4FF"/>
            </w:tcBorders>
            <w:shd w:val="clear" w:color="auto" w:fill="BFE4FF"/>
          </w:tcPr>
          <w:p>
            <w:pPr>
              <w:spacing w:after="0"/>
              <w:rPr>
                <w:sz w:val="22"/>
                <w:szCs w:val="22"/>
                <w:color w:val="auto"/>
              </w:rPr>
            </w:pPr>
          </w:p>
        </w:tc>
        <w:tc>
          <w:tcPr>
            <w:tcW w:w="1080" w:type="dxa"/>
            <w:vAlign w:val="bottom"/>
            <w:tcBorders>
              <w:bottom w:val="single" w:sz="8" w:color="BFE4FF"/>
            </w:tcBorders>
            <w:shd w:val="clear" w:color="auto" w:fill="BFE4FF"/>
          </w:tcPr>
          <w:p>
            <w:pPr>
              <w:jc w:val="right"/>
              <w:ind w:right="903"/>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313</w:t>
            </w:r>
          </w:p>
        </w:tc>
      </w:tr>
      <w:tr>
        <w:trPr>
          <w:trHeight w:val="20"/>
        </w:trPr>
        <w:tc>
          <w:tcPr>
            <w:tcW w:w="8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r>
      <w:tr>
        <w:trPr>
          <w:trHeight w:val="258"/>
        </w:trPr>
        <w:tc>
          <w:tcPr>
            <w:tcW w:w="81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0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200" w:lineRule="exact"/>
        <w:rPr>
          <w:sz w:val="20"/>
          <w:szCs w:val="20"/>
          <w:color w:val="auto"/>
        </w:rPr>
      </w:pPr>
    </w:p>
    <w:p>
      <w:pPr>
        <w:sectPr>
          <w:pgSz w:w="11900" w:h="16838" w:orient="portrait"/>
          <w:cols w:equalWidth="0" w:num="1">
            <w:col w:w="11420"/>
          </w:cols>
          <w:pgMar w:left="240" w:top="1229" w:right="239" w:bottom="1440" w:gutter="0" w:footer="0" w:header="0"/>
        </w:sectPr>
      </w:pP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31, 2016</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1,927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1,533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569</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($1.05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(323)</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(323)</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April 30,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348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2,173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1,490</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30, 2017</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2,385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Noncontrolling interest acquired</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47</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3"/>
              </w:rPr>
              <w:t>Repurchase of noncontrolling interest</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(47)</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167</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167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4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(24)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($1.05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(316)</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(86)</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2</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48</w:t>
            </w:r>
          </w:p>
        </w:tc>
        <w:tc>
          <w:tcPr>
            <w:tcW w:w="24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(23)</w:t>
            </w: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April 29, 2018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(1,104)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336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2,236</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7</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1,411</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30, 2017, except as described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w:t>
      </w:r>
    </w:p>
    <w:p>
      <w:pPr>
        <w:spacing w:after="0" w:line="112" w:lineRule="exact"/>
        <w:rPr>
          <w:sz w:val="20"/>
          <w:szCs w:val="20"/>
          <w:color w:val="auto"/>
        </w:rPr>
      </w:pPr>
    </w:p>
    <w:p>
      <w:pPr>
        <w:ind w:left="340" w:hanging="332"/>
        <w:spacing w:after="0"/>
        <w:tabs>
          <w:tab w:leader="none" w:pos="3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have substantially completed the diagnostic review of our arrangements with customers across our significant businesses, including our practices of offering rebates, refunds, discounts and other price allowances, and trade and consumer promotion programs. As we evaluate our methods of estimating the amount and timing of these various forms of variable consideration, we expect to accelerate the expense recognition of certain trade and consumer promotion programs. However, based on our assessment to date, the impact is not expected to be material on an annual basis. We are continuing to evaluate the impact that the new guidance will have on our consolidated financial statements. We expect to use the modified retrospective method when we adopt the new guidance in 2019.</w:t>
      </w:r>
    </w:p>
    <w:p>
      <w:pPr>
        <w:spacing w:after="0" w:line="119"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We are currently evaluating the impact that the new guidance will have on our consolidated financial statements.</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 interim periods within those years. Early adoption is permitted in the first interim period of a fiscal year. The modified retrospective</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jc w:val="both"/>
        <w:spacing w:after="0" w:line="277" w:lineRule="auto"/>
        <w:rPr>
          <w:sz w:val="20"/>
          <w:szCs w:val="20"/>
          <w:color w:val="auto"/>
        </w:rPr>
      </w:pPr>
      <w:r>
        <w:rPr>
          <w:rFonts w:ascii="Arial" w:cs="Arial" w:eastAsia="Arial" w:hAnsi="Arial"/>
          <w:sz w:val="18"/>
          <w:szCs w:val="18"/>
          <w:color w:val="auto"/>
        </w:rPr>
        <w:t>approach is required upon adoption, with a cumulative-effect adjustment recorded in retained earnings as of the beginning of the period of adoption. We are currently evaluating the impact that the new guidance will have on our consolidated financial statements.</w:t>
      </w:r>
    </w:p>
    <w:p>
      <w:pPr>
        <w:spacing w:after="0" w:line="116"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We will prospectively apply the guidance to applicable transactions.</w:t>
      </w:r>
    </w:p>
    <w:p>
      <w:pPr>
        <w:spacing w:after="0" w:line="11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In March 2017, the FASB issued guidance that changes the presentation of net periodic pension cost and net periodic postretirement benefit cost. Under the revised guidance, the service cost component of benefit cost is classified in the same line item or items as other compensation costs arising from services rendered by the pertinent employees during the period. The other components of net benefit cost (such as interest expense, return on assets, amortization of prior service credit, actuarial gains and losses, settlements and curtailments) are required to be presented in the income statement separately from the service cost component. The guidance also allows only the service cost component to be eligible for capitalization when applicable (for example, as a cost of internally manufactured inventory). The guidance should be applied retrospectively for the presentation of the service cost component and the other components of benefit cost in the income statement, and applied prospectively on and after the effective date for the capitalization of the service cost component. The guidance is effective for fiscal years beginning after December 15, 2017, and interim periods within those years. Early adoption is permitted. We elected to early adopt the guidance in the first quarter of 2018. The retrospective impact of presenting net periodic benefit cost in accordance with the new guidance is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52"/>
        </w:trPr>
        <w:tc>
          <w:tcPr>
            <w:tcW w:w="75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Increase / (decrease) in expense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3"/>
                <w:szCs w:val="13"/>
                <w:color w:val="auto"/>
              </w:rPr>
            </w:pPr>
          </w:p>
        </w:tc>
        <w:tc>
          <w:tcPr>
            <w:tcW w:w="162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7"/>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7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7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1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2018, the FASB issued guidance that provides entities an option to reclassify the tax effects of the Tax Cuts and Jobs Act of 2017 on items within accumulated other comprehensive income to retained earnings. The guidance is effective for fiscal years beginning after December 15, 2018, and interim periods within those years. Entities are able to early adopt the guidance in any interim or annual period for which financial statements have not yet been issued and apply it either in the period of adoption or retrospectively to each period in which the tax effects of the Tax Cuts and Jobs Act of 2017 related to items in accumulated other comprehensive income are recognized. New disclosures are required regardless of whether an entity elects to reclassify the tax effects. We are currently evaluating the impact that the new guidance will have on our consolidated financial statements.</w:t>
      </w:r>
    </w:p>
    <w:p>
      <w:pPr>
        <w:spacing w:after="0" w:line="120"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 xml:space="preserve">On March 26, 2018, we completed the acquisition of Snyder's-Lance, Inc. (Snyder's-Lance) for $50.00 per share. Total consideration was $6,112, which included the payoff of approximately $1,100 of Snyder's-Lance indebtedness. The acquisition was financed through a single draw 3-year senior unsecured term loan facility and the issuance of senior notes. See Note 12 for additional information. Snyder's-Lance is a snack food company that manufactures, distributes, markets and sells snack food products in North America and Europe. Its primary brands include </w:t>
      </w:r>
      <w:r>
        <w:rPr>
          <w:rFonts w:ascii="Arial" w:cs="Arial" w:eastAsia="Arial" w:hAnsi="Arial"/>
          <w:sz w:val="17"/>
          <w:szCs w:val="17"/>
          <w:i w:val="1"/>
          <w:iCs w:val="1"/>
          <w:color w:val="auto"/>
        </w:rPr>
        <w:t>Snyder’s of Hanover</w:t>
      </w:r>
      <w:r>
        <w:rPr>
          <w:rFonts w:ascii="Arial" w:cs="Arial" w:eastAsia="Arial" w:hAnsi="Arial"/>
          <w:sz w:val="17"/>
          <w:szCs w:val="17"/>
          <w:color w:val="auto"/>
        </w:rPr>
        <w:t xml:space="preserve"> and </w:t>
      </w:r>
      <w:r>
        <w:rPr>
          <w:rFonts w:ascii="Arial" w:cs="Arial" w:eastAsia="Arial" w:hAnsi="Arial"/>
          <w:sz w:val="17"/>
          <w:szCs w:val="17"/>
          <w:i w:val="1"/>
          <w:iCs w:val="1"/>
          <w:color w:val="auto"/>
        </w:rPr>
        <w:t>Lance</w:t>
      </w:r>
      <w:r>
        <w:rPr>
          <w:rFonts w:ascii="Arial" w:cs="Arial" w:eastAsia="Arial" w:hAnsi="Arial"/>
          <w:sz w:val="17"/>
          <w:szCs w:val="17"/>
          <w:color w:val="auto"/>
        </w:rPr>
        <w:t xml:space="preserve">, as well as </w:t>
      </w:r>
      <w:r>
        <w:rPr>
          <w:rFonts w:ascii="Arial" w:cs="Arial" w:eastAsia="Arial" w:hAnsi="Arial"/>
          <w:sz w:val="17"/>
          <w:szCs w:val="17"/>
          <w:i w:val="1"/>
          <w:iCs w:val="1"/>
          <w:color w:val="auto"/>
        </w:rPr>
        <w:t>Kettle</w:t>
      </w:r>
      <w:r>
        <w:rPr>
          <w:rFonts w:ascii="Arial" w:cs="Arial" w:eastAsia="Arial" w:hAnsi="Arial"/>
          <w:sz w:val="17"/>
          <w:szCs w:val="17"/>
          <w:color w:val="auto"/>
        </w:rPr>
        <w:t xml:space="preserve"> </w:t>
      </w:r>
      <w:r>
        <w:rPr>
          <w:rFonts w:ascii="Arial" w:cs="Arial" w:eastAsia="Arial" w:hAnsi="Arial"/>
          <w:sz w:val="17"/>
          <w:szCs w:val="17"/>
          <w:i w:val="1"/>
          <w:iCs w:val="1"/>
          <w:color w:val="auto"/>
        </w:rPr>
        <w:t>Brand</w:t>
      </w:r>
      <w:r>
        <w:rPr>
          <w:rFonts w:ascii="Arial" w:cs="Arial" w:eastAsia="Arial" w:hAnsi="Arial"/>
          <w:sz w:val="17"/>
          <w:szCs w:val="17"/>
          <w:color w:val="auto"/>
        </w:rPr>
        <w:t>,</w:t>
      </w:r>
      <w:r>
        <w:rPr>
          <w:rFonts w:ascii="Arial" w:cs="Arial" w:eastAsia="Arial" w:hAnsi="Arial"/>
          <w:sz w:val="17"/>
          <w:szCs w:val="17"/>
          <w:i w:val="1"/>
          <w:iCs w:val="1"/>
          <w:color w:val="auto"/>
        </w:rPr>
        <w:t xml:space="preserve"> KETTLE Chips, Cape Cod</w:t>
      </w:r>
      <w:r>
        <w:rPr>
          <w:rFonts w:ascii="Arial" w:cs="Arial" w:eastAsia="Arial" w:hAnsi="Arial"/>
          <w:sz w:val="17"/>
          <w:szCs w:val="17"/>
          <w:color w:val="auto"/>
        </w:rPr>
        <w:t>,</w:t>
      </w:r>
      <w:r>
        <w:rPr>
          <w:rFonts w:ascii="Arial" w:cs="Arial" w:eastAsia="Arial" w:hAnsi="Arial"/>
          <w:sz w:val="17"/>
          <w:szCs w:val="17"/>
          <w:i w:val="1"/>
          <w:iCs w:val="1"/>
          <w:color w:val="auto"/>
        </w:rPr>
        <w:t xml:space="preserve"> Snack Factory Pretzel Crisps</w:t>
      </w:r>
      <w:r>
        <w:rPr>
          <w:rFonts w:ascii="Arial" w:cs="Arial" w:eastAsia="Arial" w:hAnsi="Arial"/>
          <w:sz w:val="17"/>
          <w:szCs w:val="17"/>
          <w:color w:val="auto"/>
        </w:rPr>
        <w:t>,</w:t>
      </w:r>
      <w:r>
        <w:rPr>
          <w:rFonts w:ascii="Arial" w:cs="Arial" w:eastAsia="Arial" w:hAnsi="Arial"/>
          <w:sz w:val="17"/>
          <w:szCs w:val="17"/>
          <w:i w:val="1"/>
          <w:iCs w:val="1"/>
          <w:color w:val="auto"/>
        </w:rPr>
        <w:t xml:space="preserve"> Pop Secret, Emerald </w:t>
      </w:r>
      <w:r>
        <w:rPr>
          <w:rFonts w:ascii="Arial" w:cs="Arial" w:eastAsia="Arial" w:hAnsi="Arial"/>
          <w:sz w:val="17"/>
          <w:szCs w:val="17"/>
          <w:color w:val="auto"/>
        </w:rPr>
        <w:t>and</w:t>
      </w:r>
      <w:r>
        <w:rPr>
          <w:rFonts w:ascii="Arial" w:cs="Arial" w:eastAsia="Arial" w:hAnsi="Arial"/>
          <w:sz w:val="17"/>
          <w:szCs w:val="17"/>
          <w:i w:val="1"/>
          <w:iCs w:val="1"/>
          <w:color w:val="auto"/>
        </w:rPr>
        <w:t xml:space="preserve"> Late July</w:t>
      </w:r>
      <w:r>
        <w:rPr>
          <w:rFonts w:ascii="Arial" w:cs="Arial" w:eastAsia="Arial" w:hAnsi="Arial"/>
          <w:sz w:val="17"/>
          <w:szCs w:val="17"/>
          <w:color w:val="auto"/>
        </w:rPr>
        <w:t>.</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14" w:right="239" w:bottom="1440" w:gutter="0" w:footer="0" w:header="0"/>
        </w:sectPr>
      </w:pPr>
    </w:p>
    <w:bookmarkStart w:id="9" w:name="page10"/>
    <w:bookmarkEnd w:id="9"/>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$2,867 of goodwill. The goodwill is not deductible for tax purposes. The goodwill was primarily attributable to future growth opportunities, anticipated synergies, and intangible assets that did not qualify for separate recognition. The goodwill is included in the Global Biscuits and Snacks segment.</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December 12, 2017, we completed the acquisition of Pacific Foods of Oregon, LLC (Pacific Foods) for $689, subject to customary post-closing adjustments. Pacific Foods produces broth, soups, non-dairy beverages and other simple meals. The excess of the purchase price over the estimated fair values of identifiable net assets was recorded as $202 of goodwill. The goodwill is deductible for tax purposes. The goodwill was primarily attributable to future growth opportunities, anticipated synergies, and intangible assets that did not qualify for separate recognition. The goodwill is included in the Americas Simple Meals and Beverages segment.</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acquired assets and assumed liabilities include the following:</w:t>
      </w:r>
    </w:p>
    <w:p>
      <w:pPr>
        <w:spacing w:after="0" w:line="392"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59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00" w:type="dxa"/>
            <w:vAlign w:val="bottom"/>
            <w:gridSpan w:val="4"/>
          </w:tcPr>
          <w:p>
            <w:pPr>
              <w:ind w:left="320"/>
              <w:spacing w:after="0"/>
              <w:rPr>
                <w:sz w:val="20"/>
                <w:szCs w:val="20"/>
                <w:color w:val="auto"/>
              </w:rPr>
            </w:pPr>
            <w:r>
              <w:rPr>
                <w:rFonts w:ascii="Arial" w:cs="Arial" w:eastAsia="Arial" w:hAnsi="Arial"/>
                <w:sz w:val="14"/>
                <w:szCs w:val="14"/>
                <w:b w:val="1"/>
                <w:bCs w:val="1"/>
                <w:color w:val="auto"/>
              </w:rPr>
              <w:t>Snyder's-Lance</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312"/>
              <w:spacing w:after="0"/>
              <w:rPr>
                <w:sz w:val="20"/>
                <w:szCs w:val="20"/>
                <w:color w:val="auto"/>
              </w:rPr>
            </w:pPr>
            <w:r>
              <w:rPr>
                <w:rFonts w:ascii="Arial" w:cs="Arial" w:eastAsia="Arial" w:hAnsi="Arial"/>
                <w:sz w:val="14"/>
                <w:szCs w:val="14"/>
                <w:b w:val="1"/>
                <w:bCs w:val="1"/>
                <w:color w:val="auto"/>
              </w:rPr>
              <w:t>Pacific Foods</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17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220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Plant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2,867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2,947</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debt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Accounts payable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Deferred income taxes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(637)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980" w:type="dxa"/>
            <w:vAlign w:val="bottom"/>
            <w:gridSpan w:val="2"/>
          </w:tcPr>
          <w:p>
            <w:pPr>
              <w:ind w:left="20"/>
              <w:spacing w:after="0"/>
              <w:rPr>
                <w:sz w:val="20"/>
                <w:szCs w:val="20"/>
                <w:color w:val="auto"/>
              </w:rPr>
            </w:pPr>
            <w:r>
              <w:rPr>
                <w:rFonts w:ascii="Arial" w:cs="Arial" w:eastAsia="Arial" w:hAnsi="Arial"/>
                <w:sz w:val="18"/>
                <w:szCs w:val="18"/>
                <w:color w:val="auto"/>
              </w:rPr>
              <w:t>Noncontrolling interest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 acquired and liabilities assumed</w:t>
            </w:r>
          </w:p>
        </w:tc>
        <w:tc>
          <w:tcPr>
            <w:tcW w:w="1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6,112</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20" w:type="dxa"/>
            <w:vAlign w:val="bottom"/>
            <w:vMerge w:val="restart"/>
          </w:tcPr>
          <w:p>
            <w:pPr>
              <w:ind w:left="260"/>
              <w:spacing w:after="0"/>
              <w:rPr>
                <w:sz w:val="20"/>
                <w:szCs w:val="20"/>
                <w:color w:val="auto"/>
              </w:rPr>
            </w:pPr>
            <w:r>
              <w:rPr>
                <w:rFonts w:ascii="Arial" w:cs="Arial" w:eastAsia="Arial" w:hAnsi="Arial"/>
                <w:sz w:val="18"/>
                <w:szCs w:val="18"/>
                <w:color w:val="auto"/>
              </w:rPr>
              <w:t>The identifiable intangible assets of Snyder's-Lance consist of:</w:t>
            </w: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3"/>
          </w:tcPr>
          <w:p>
            <w:pPr>
              <w:jc w:val="center"/>
              <w:ind w:right="320"/>
              <w:spacing w:after="0"/>
              <w:rPr>
                <w:sz w:val="20"/>
                <w:szCs w:val="20"/>
                <w:color w:val="auto"/>
              </w:rPr>
            </w:pPr>
            <w:r>
              <w:rPr>
                <w:rFonts w:ascii="Arial" w:cs="Arial" w:eastAsia="Arial" w:hAnsi="Arial"/>
                <w:sz w:val="14"/>
                <w:szCs w:val="14"/>
                <w:b w:val="1"/>
                <w:bCs w:val="1"/>
                <w:color w:val="auto"/>
                <w:w w:val="93"/>
              </w:rPr>
              <w:t>Life in Years</w:t>
            </w:r>
          </w:p>
        </w:tc>
        <w:tc>
          <w:tcPr>
            <w:tcW w:w="8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212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2"/>
              </w:rPr>
              <w:t>Non-amortizable</w:t>
            </w:r>
          </w:p>
        </w:tc>
        <w:tc>
          <w:tcPr>
            <w:tcW w:w="1700" w:type="dxa"/>
            <w:vAlign w:val="bottom"/>
            <w:tcBorders>
              <w:bottom w:val="single" w:sz="8" w:color="CCEEFF"/>
            </w:tcBorders>
            <w:gridSpan w:val="4"/>
            <w:shd w:val="clear" w:color="auto" w:fill="CCEEFF"/>
          </w:tcPr>
          <w:p>
            <w:pPr>
              <w:jc w:val="center"/>
              <w:ind w:right="400"/>
              <w:spacing w:after="0"/>
              <w:rPr>
                <w:sz w:val="20"/>
                <w:szCs w:val="20"/>
                <w:color w:val="auto"/>
              </w:rPr>
            </w:pPr>
            <w:r>
              <w:rPr>
                <w:rFonts w:ascii="Arial" w:cs="Arial" w:eastAsia="Arial" w:hAnsi="Arial"/>
                <w:sz w:val="18"/>
                <w:szCs w:val="18"/>
                <w:color w:val="auto"/>
                <w:w w:val="95"/>
              </w:rPr>
              <w:t>Indefinite</w:t>
            </w:r>
          </w:p>
        </w:tc>
        <w:tc>
          <w:tcPr>
            <w:tcW w:w="2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2,131</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120" w:type="dxa"/>
            <w:vAlign w:val="bottom"/>
            <w:gridSpan w:val="3"/>
          </w:tcPr>
          <w:p>
            <w:pPr>
              <w:jc w:val="center"/>
              <w:ind w:right="420"/>
              <w:spacing w:after="0"/>
              <w:rPr>
                <w:sz w:val="20"/>
                <w:szCs w:val="20"/>
                <w:color w:val="auto"/>
              </w:rPr>
            </w:pPr>
            <w:r>
              <w:rPr>
                <w:rFonts w:ascii="Arial" w:cs="Arial" w:eastAsia="Arial" w:hAnsi="Arial"/>
                <w:sz w:val="18"/>
                <w:szCs w:val="18"/>
                <w:color w:val="auto"/>
                <w:w w:val="94"/>
              </w:rPr>
              <w:t>Amortizable</w:t>
            </w:r>
          </w:p>
        </w:tc>
        <w:tc>
          <w:tcPr>
            <w:tcW w:w="820" w:type="dxa"/>
            <w:vAlign w:val="bottom"/>
          </w:tcPr>
          <w:p>
            <w:pPr>
              <w:jc w:val="right"/>
              <w:ind w:right="75"/>
              <w:spacing w:after="0"/>
              <w:rPr>
                <w:sz w:val="20"/>
                <w:szCs w:val="20"/>
                <w:color w:val="auto"/>
              </w:rPr>
            </w:pPr>
            <w:r>
              <w:rPr>
                <w:rFonts w:ascii="Arial" w:cs="Arial" w:eastAsia="Arial" w:hAnsi="Arial"/>
                <w:sz w:val="18"/>
                <w:szCs w:val="18"/>
                <w:color w:val="auto"/>
              </w:rPr>
              <w:t>15 to</w:t>
            </w:r>
          </w:p>
        </w:tc>
        <w:tc>
          <w:tcPr>
            <w:tcW w:w="780" w:type="dxa"/>
            <w:vAlign w:val="bottom"/>
          </w:tcPr>
          <w:p>
            <w:pPr>
              <w:jc w:val="right"/>
              <w:ind w:right="470"/>
              <w:spacing w:after="0"/>
              <w:rPr>
                <w:sz w:val="20"/>
                <w:szCs w:val="20"/>
                <w:color w:val="auto"/>
              </w:rPr>
            </w:pPr>
            <w:r>
              <w:rPr>
                <w:rFonts w:ascii="Arial" w:cs="Arial" w:eastAsia="Arial" w:hAnsi="Arial"/>
                <w:sz w:val="18"/>
                <w:szCs w:val="18"/>
                <w:color w:val="auto"/>
                <w:w w:val="99"/>
              </w:rPr>
              <w:t>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120" w:type="dxa"/>
            <w:vAlign w:val="bottom"/>
            <w:tcBorders>
              <w:bottom w:val="single" w:sz="8" w:color="CCEEFF"/>
            </w:tcBorders>
            <w:gridSpan w:val="3"/>
            <w:shd w:val="clear" w:color="auto" w:fill="CCEEFF"/>
          </w:tcPr>
          <w:p>
            <w:pPr>
              <w:jc w:val="center"/>
              <w:ind w:right="420"/>
              <w:spacing w:after="0"/>
              <w:rPr>
                <w:sz w:val="20"/>
                <w:szCs w:val="20"/>
                <w:color w:val="auto"/>
              </w:rPr>
            </w:pPr>
            <w:r>
              <w:rPr>
                <w:rFonts w:ascii="Arial" w:cs="Arial" w:eastAsia="Arial" w:hAnsi="Arial"/>
                <w:sz w:val="18"/>
                <w:szCs w:val="18"/>
                <w:color w:val="auto"/>
                <w:w w:val="94"/>
              </w:rPr>
              <w:t>Amortizable</w:t>
            </w:r>
          </w:p>
        </w:tc>
        <w:tc>
          <w:tcPr>
            <w:tcW w:w="820" w:type="dxa"/>
            <w:vAlign w:val="bottom"/>
            <w:tcBorders>
              <w:bottom w:val="single" w:sz="8" w:color="CCEEFF"/>
            </w:tcBorders>
            <w:shd w:val="clear" w:color="auto" w:fill="CCEEFF"/>
          </w:tcPr>
          <w:p>
            <w:pPr>
              <w:jc w:val="center"/>
              <w:ind w:left="395"/>
              <w:spacing w:after="0"/>
              <w:rPr>
                <w:sz w:val="20"/>
                <w:szCs w:val="20"/>
                <w:color w:val="auto"/>
              </w:rPr>
            </w:pPr>
            <w:r>
              <w:rPr>
                <w:rFonts w:ascii="Arial" w:cs="Arial" w:eastAsia="Arial" w:hAnsi="Arial"/>
                <w:sz w:val="18"/>
                <w:szCs w:val="18"/>
                <w:color w:val="auto"/>
                <w:w w:val="87"/>
              </w:rPr>
              <w:t>1.5</w:t>
            </w:r>
          </w:p>
        </w:tc>
        <w:tc>
          <w:tcPr>
            <w:tcW w:w="7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Total identifiable intangible assets</w:t>
            </w: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2,947</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identifiable intangible assets of Pacific Foods consist of $280 in non-amortizable trademarks, and $86 in customer relationships to be amortized over 20 years.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purchase price allocations are preliminary and are subject to the finalization of valuations, which will be completed within the allowable measurement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For the three- and nine-month periods ended April 29, 2018, the contribution of the Pacific Foods acquisition to Net sales was $55 and $83,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contribution to Net earnings was not material.</w:t>
      </w:r>
    </w:p>
    <w:p>
      <w:pPr>
        <w:spacing w:after="0" w:line="15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recognized transaction costs and integration costs of $64 and $88, associated with the Snyder's-Lance acquisition in the three- and nine-month periods ended April 29, 2018, respectively. Approximately $29 in the three-month period and $53 in the nine-month period represented transactions costs, including bridge financing costs and outside advisory costs, and were recorded in Other expenses / (income). Integration costs in the three- and nine-month periods included the following:</w:t>
      </w:r>
    </w:p>
    <w:p>
      <w:pPr>
        <w:spacing w:after="0" w:line="133"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amortization of most of the acquisition date fair value adjustment to inventories of $37 that was recorded in Cost of products sold;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 of Restructuring charges;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$6 of Administrative expenses; and</w:t>
      </w:r>
    </w:p>
    <w:p>
      <w:pPr>
        <w:sectPr>
          <w:pgSz w:w="11900" w:h="16838" w:orient="portrait"/>
          <w:cols w:equalWidth="0" w:num="1">
            <w:col w:w="11420"/>
          </w:cols>
          <w:pgMar w:left="240" w:top="1233"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33" w:right="239" w:bottom="1440" w:gutter="0" w:footer="0" w:header="0"/>
          <w:type w:val="continuous"/>
        </w:sectPr>
      </w:pPr>
    </w:p>
    <w:bookmarkStart w:id="10" w:name="page11"/>
    <w:bookmarkEnd w:id="10"/>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$18 gain in Interest expense on treasury rate lock contracts used to hedge the planned financing of the acquisition.</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the three- and nine-month periods ended April 29, 2018, the contribution of the Snyder's-Lance acquisition to Net sales was $207. The contribution to Net earnings (loss) was a loss of $52 for the three-month period ended April 29, 2018, including the effect of the transaction and integration costs, and interest expense on the debt to finance the acquisition.</w:t>
      </w:r>
    </w:p>
    <w:p>
      <w:pPr>
        <w:spacing w:after="0" w:line="12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Snyder's-Lance and Pacific Foods acquisitions had occurred on August 1, 2016:</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476"/>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10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April 30,</w:t>
            </w:r>
          </w:p>
        </w:tc>
        <w:tc>
          <w:tcPr>
            <w:tcW w:w="200" w:type="dxa"/>
            <w:vAlign w:val="bottom"/>
          </w:tcPr>
          <w:p>
            <w:pPr>
              <w:spacing w:after="0"/>
              <w:rPr>
                <w:sz w:val="13"/>
                <w:szCs w:val="13"/>
                <w:color w:val="auto"/>
              </w:rPr>
            </w:pPr>
          </w:p>
        </w:tc>
        <w:tc>
          <w:tcPr>
            <w:tcW w:w="940" w:type="dxa"/>
            <w:vAlign w:val="bottom"/>
          </w:tcPr>
          <w:p>
            <w:pPr>
              <w:jc w:val="right"/>
              <w:ind w:right="238"/>
              <w:spacing w:after="0" w:line="153" w:lineRule="exact"/>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3"/>
                <w:szCs w:val="13"/>
                <w:color w:val="auto"/>
              </w:rPr>
            </w:pPr>
          </w:p>
        </w:tc>
        <w:tc>
          <w:tcPr>
            <w:tcW w:w="94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rPr>
              <w:t>April 30,</w:t>
            </w:r>
          </w:p>
        </w:tc>
      </w:tr>
      <w:tr>
        <w:trPr>
          <w:trHeight w:val="192"/>
        </w:trPr>
        <w:tc>
          <w:tcPr>
            <w:tcW w:w="65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58"/>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2,448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8,003</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8,042</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rPr>
              <w:t>Net earnings (loss) attributable to Campbell Soup Company</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(368)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272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468</w:t>
            </w:r>
          </w:p>
        </w:tc>
      </w:tr>
      <w:tr>
        <w:trPr>
          <w:trHeight w:val="27"/>
        </w:trPr>
        <w:tc>
          <w:tcPr>
            <w:tcW w:w="6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earnings (loss) per share attributable to Campbell Soup Company - basic</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0.90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w:t>
            </w:r>
          </w:p>
        </w:tc>
      </w:tr>
      <w:tr>
        <w:trPr>
          <w:trHeight w:val="243"/>
        </w:trPr>
        <w:tc>
          <w:tcPr>
            <w:tcW w:w="6520" w:type="dxa"/>
            <w:vAlign w:val="bottom"/>
          </w:tcPr>
          <w:p>
            <w:pPr>
              <w:ind w:left="20"/>
              <w:spacing w:after="0"/>
              <w:rPr>
                <w:sz w:val="20"/>
                <w:szCs w:val="20"/>
                <w:color w:val="auto"/>
              </w:rPr>
            </w:pPr>
            <w:r>
              <w:rPr>
                <w:rFonts w:ascii="Arial" w:cs="Arial" w:eastAsia="Arial" w:hAnsi="Arial"/>
                <w:sz w:val="18"/>
                <w:szCs w:val="18"/>
                <w:color w:val="auto"/>
                <w:w w:val="97"/>
              </w:rPr>
              <w:t>Net earnings per share attributable to Campbell Soup Company - assuming dilution</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8"/>
              <w:spacing w:after="0"/>
              <w:rPr>
                <w:sz w:val="20"/>
                <w:szCs w:val="20"/>
                <w:color w:val="auto"/>
              </w:rPr>
            </w:pPr>
            <w:r>
              <w:rPr>
                <w:rFonts w:ascii="Arial" w:cs="Arial" w:eastAsia="Arial" w:hAnsi="Arial"/>
                <w:sz w:val="18"/>
                <w:szCs w:val="18"/>
                <w:b w:val="1"/>
                <w:bCs w:val="1"/>
                <w:color w:val="auto"/>
              </w:rPr>
              <w:t>0.90</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6"/>
              <w:spacing w:after="0"/>
              <w:rPr>
                <w:sz w:val="20"/>
                <w:szCs w:val="20"/>
                <w:color w:val="auto"/>
              </w:rPr>
            </w:pPr>
            <w:r>
              <w:rPr>
                <w:rFonts w:ascii="Arial" w:cs="Arial" w:eastAsia="Arial" w:hAnsi="Arial"/>
                <w:sz w:val="18"/>
                <w:szCs w:val="18"/>
                <w:color w:val="auto"/>
              </w:rPr>
              <w:t>1.52</w:t>
            </w:r>
          </w:p>
        </w:tc>
      </w:tr>
    </w:tbl>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Snyder's-Lance and Pacific Foods acquisitions been completed on August 1, 2016, nor are they indicative of future combined results. The pro forma results for 2017 include pre-tax transaction costs of $53, pre-tax amortization of the acquisition date fair value adjustment to inventories of $42 (of which $37 was recognized as of the third quarter 2018), and a pre-tax gain of $18 on treasury rate lock contracts. Therefore, the pro forma results for 2018 exclude these items, as they are reflected in 2017.</w:t>
      </w:r>
    </w:p>
    <w:p>
      <w:pPr>
        <w:spacing w:after="0" w:line="135"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31, 2016</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30, 2017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0"/>
                <w:szCs w:val="20"/>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Balance at April 29,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8"/>
          <w:szCs w:val="18"/>
          <w:color w:val="auto"/>
        </w:rPr>
        <w:t>Included a tax expense of $6 as of April 29, 2018, July 30, 2017, April 30, 2017, and July 31, 2016.</w:t>
      </w:r>
    </w:p>
    <w:p>
      <w:pPr>
        <w:ind w:left="340" w:hanging="332"/>
        <w:spacing w:after="0" w:line="203"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8"/>
          <w:szCs w:val="18"/>
          <w:color w:val="auto"/>
        </w:rPr>
        <w:t>Included a tax benefit of $5 as of April 29, 2018, $12 as of July 30, 2017, $9 as of April 30, 2017, and $23 as of July 31, 2016.</w:t>
      </w:r>
    </w:p>
    <w:p>
      <w:pPr>
        <w:ind w:left="340" w:right="1700" w:hanging="332"/>
        <w:spacing w:after="0" w:line="321" w:lineRule="auto"/>
        <w:tabs>
          <w:tab w:leader="none" w:pos="340" w:val="left"/>
        </w:tabs>
        <w:numPr>
          <w:ilvl w:val="0"/>
          <w:numId w:val="7"/>
        </w:numPr>
        <w:rPr>
          <w:rFonts w:ascii="Arial" w:cs="Arial" w:eastAsia="Arial" w:hAnsi="Arial"/>
          <w:sz w:val="13"/>
          <w:szCs w:val="13"/>
          <w:color w:val="auto"/>
        </w:rPr>
      </w:pPr>
      <w:r>
        <w:rPr>
          <w:rFonts w:ascii="Arial" w:cs="Arial" w:eastAsia="Arial" w:hAnsi="Arial"/>
          <w:sz w:val="18"/>
          <w:szCs w:val="18"/>
          <w:color w:val="auto"/>
        </w:rPr>
        <w:t>Included a tax expense of $24 as of April 29, 2018, $30 as of July 30, 2017, $29 as of April 30, 2017, and $35 as of July 31, 2016. Amounts related to noncontrolling interests were not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14" w:right="239" w:bottom="1440" w:gutter="0" w:footer="0" w:header="0"/>
        </w:sectPr>
      </w:pPr>
    </w:p>
    <w:bookmarkStart w:id="11" w:name="page12"/>
    <w:bookmarkEnd w:id="11"/>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640" w:type="dxa"/>
            <w:vAlign w:val="bottom"/>
            <w:gridSpan w:val="2"/>
          </w:tcPr>
          <w:p>
            <w:pPr>
              <w:ind w:left="240"/>
              <w:spacing w:after="0" w:line="139" w:lineRule="exact"/>
              <w:rPr>
                <w:sz w:val="20"/>
                <w:szCs w:val="20"/>
                <w:color w:val="auto"/>
              </w:rPr>
            </w:pPr>
            <w:r>
              <w:rPr>
                <w:rFonts w:ascii="Arial" w:cs="Arial" w:eastAsia="Arial" w:hAnsi="Arial"/>
                <w:sz w:val="14"/>
                <w:szCs w:val="14"/>
                <w:b w:val="1"/>
                <w:bCs w:val="1"/>
                <w:color w:val="auto"/>
              </w:rPr>
              <w:t>Details about Accumulated Other Comprehensive</w:t>
            </w:r>
          </w:p>
        </w:tc>
        <w:tc>
          <w:tcPr>
            <w:tcW w:w="140" w:type="dxa"/>
            <w:vAlign w:val="bottom"/>
          </w:tcPr>
          <w:p>
            <w:pPr>
              <w:spacing w:after="0"/>
              <w:rPr>
                <w:sz w:val="12"/>
                <w:szCs w:val="12"/>
                <w:color w:val="auto"/>
              </w:rPr>
            </w:pPr>
          </w:p>
        </w:tc>
        <w:tc>
          <w:tcPr>
            <w:tcW w:w="10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April 29, 2018</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5"/>
              </w:rPr>
              <w:t>April 30, 2017</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April 29, 2018</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5"/>
              </w:rPr>
              <w:t>April 30, 2017</w:t>
            </w:r>
          </w:p>
        </w:tc>
        <w:tc>
          <w:tcPr>
            <w:tcW w:w="100" w:type="dxa"/>
            <w:vAlign w:val="bottom"/>
          </w:tcPr>
          <w:p>
            <w:pPr>
              <w:spacing w:after="0"/>
              <w:rPr>
                <w:sz w:val="12"/>
                <w:szCs w:val="12"/>
                <w:color w:val="auto"/>
              </w:rPr>
            </w:pPr>
          </w:p>
        </w:tc>
        <w:tc>
          <w:tcPr>
            <w:tcW w:w="272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2"/>
              </w:rPr>
              <w:t>Location of (Gain) Loss Recognized in</w:t>
            </w:r>
          </w:p>
        </w:tc>
        <w:tc>
          <w:tcPr>
            <w:tcW w:w="0" w:type="dxa"/>
            <w:vAlign w:val="bottom"/>
          </w:tcPr>
          <w:p>
            <w:pPr>
              <w:spacing w:after="0"/>
              <w:rPr>
                <w:sz w:val="1"/>
                <w:szCs w:val="1"/>
                <w:color w:val="auto"/>
              </w:rPr>
            </w:pPr>
          </w:p>
        </w:tc>
      </w:tr>
      <w:tr>
        <w:trPr>
          <w:trHeight w:val="192"/>
        </w:trPr>
        <w:tc>
          <w:tcPr>
            <w:tcW w:w="3520" w:type="dxa"/>
            <w:vAlign w:val="bottom"/>
            <w:tcBorders>
              <w:bottom w:val="single" w:sz="8" w:color="auto"/>
            </w:tcBorders>
          </w:tcPr>
          <w:p>
            <w:pPr>
              <w:jc w:val="right"/>
              <w:ind w:right="833"/>
              <w:spacing w:after="0"/>
              <w:rPr>
                <w:sz w:val="20"/>
                <w:szCs w:val="20"/>
                <w:color w:val="auto"/>
              </w:rPr>
            </w:pPr>
            <w:r>
              <w:rPr>
                <w:rFonts w:ascii="Arial" w:cs="Arial" w:eastAsia="Arial" w:hAnsi="Arial"/>
                <w:sz w:val="14"/>
                <w:szCs w:val="14"/>
                <w:b w:val="1"/>
                <w:bCs w:val="1"/>
                <w:color w:val="auto"/>
              </w:rPr>
              <w:t>Income (Loss) Components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89"/>
              </w:rPr>
              <w:t>(Gains) losses on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364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1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7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Total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jc w:val="right"/>
              <w:ind w:right="140"/>
              <w:spacing w:after="0"/>
              <w:rPr>
                <w:sz w:val="20"/>
                <w:szCs w:val="20"/>
                <w:color w:val="auto"/>
              </w:rPr>
            </w:pPr>
            <w:r>
              <w:rPr>
                <w:rFonts w:ascii="Arial" w:cs="Arial" w:eastAsia="Arial" w:hAnsi="Arial"/>
                <w:sz w:val="18"/>
                <w:szCs w:val="18"/>
                <w:color w:val="auto"/>
              </w:rPr>
              <w:t>Tax expense (benefit)</w:t>
            </w: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(Gain) loss,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7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Pension and postretirement benefit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840" w:type="dxa"/>
            <w:vAlign w:val="bottom"/>
            <w:gridSpan w:val="3"/>
          </w:tcPr>
          <w:p>
            <w:pPr>
              <w:ind w:left="660"/>
              <w:spacing w:after="0"/>
              <w:rPr>
                <w:sz w:val="20"/>
                <w:szCs w:val="20"/>
                <w:color w:val="auto"/>
              </w:rPr>
            </w:pPr>
            <w:r>
              <w:rPr>
                <w:rFonts w:ascii="Arial" w:cs="Arial" w:eastAsia="Arial" w:hAnsi="Arial"/>
                <w:sz w:val="18"/>
                <w:szCs w:val="18"/>
                <w:color w:val="auto"/>
              </w:rPr>
              <w:t>(18)  Other expenses / (income)</w:t>
            </w: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7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3640" w:type="dxa"/>
            <w:vAlign w:val="bottom"/>
            <w:gridSpan w:val="2"/>
          </w:tcPr>
          <w:p>
            <w:pPr>
              <w:jc w:val="right"/>
              <w:ind w:right="140"/>
              <w:spacing w:after="0"/>
              <w:rPr>
                <w:sz w:val="20"/>
                <w:szCs w:val="20"/>
                <w:color w:val="auto"/>
              </w:rPr>
            </w:pPr>
            <w:r>
              <w:rPr>
                <w:rFonts w:ascii="Arial" w:cs="Arial" w:eastAsia="Arial" w:hAnsi="Arial"/>
                <w:sz w:val="18"/>
                <w:szCs w:val="18"/>
                <w:color w:val="auto"/>
              </w:rPr>
              <w:t>(Gain) loss, net of tax</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Americas Simple</w:t>
            </w: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60" w:type="dxa"/>
            <w:vAlign w:val="bottom"/>
          </w:tcPr>
          <w:p>
            <w:pPr>
              <w:spacing w:after="0"/>
              <w:rPr>
                <w:sz w:val="12"/>
                <w:szCs w:val="12"/>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Campbell Fresh</w:t>
            </w: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Meals and Beverages</w:t>
            </w: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Snacks</w:t>
            </w: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Net balance at July 30, 2017</w:t>
            </w:r>
            <w:r>
              <w:rPr>
                <w:rFonts w:ascii="Arial" w:cs="Arial" w:eastAsia="Arial" w:hAnsi="Arial"/>
                <w:sz w:val="25"/>
                <w:szCs w:val="25"/>
                <w:color w:val="auto"/>
                <w:vertAlign w:val="superscript"/>
              </w:rPr>
              <w:t>(1)</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780</w:t>
            </w: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795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540</w:t>
            </w: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2,115</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Acquisitions</w:t>
            </w:r>
          </w:p>
        </w:tc>
        <w:tc>
          <w:tcPr>
            <w:tcW w:w="14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b w:val="1"/>
                <w:bCs w:val="1"/>
                <w:color w:val="auto"/>
              </w:rPr>
              <w:t>202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8"/>
              <w:spacing w:after="0"/>
              <w:rPr>
                <w:sz w:val="20"/>
                <w:szCs w:val="20"/>
                <w:color w:val="auto"/>
              </w:rPr>
            </w:pPr>
            <w:r>
              <w:rPr>
                <w:rFonts w:ascii="Arial" w:cs="Arial" w:eastAsia="Arial" w:hAnsi="Arial"/>
                <w:sz w:val="18"/>
                <w:szCs w:val="18"/>
                <w:b w:val="1"/>
                <w:bCs w:val="1"/>
                <w:color w:val="auto"/>
              </w:rPr>
              <w:t>2,867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b w:val="1"/>
                <w:bCs w:val="1"/>
                <w:color w:val="auto"/>
              </w:rPr>
              <w:t>3,069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Impairment charges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Net balance at April 29, 2018</w:t>
            </w:r>
            <w:r>
              <w:rPr>
                <w:rFonts w:ascii="Arial" w:cs="Arial" w:eastAsia="Arial" w:hAnsi="Arial"/>
                <w:sz w:val="25"/>
                <w:szCs w:val="25"/>
                <w:b w:val="1"/>
                <w:bCs w:val="1"/>
                <w:color w:val="auto"/>
                <w:vertAlign w:val="superscript"/>
              </w:rPr>
              <w:t>(1)</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9"/>
              </w:rPr>
              <w:t>$</w:t>
            </w:r>
          </w:p>
        </w:tc>
        <w:tc>
          <w:tcPr>
            <w:tcW w:w="12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979</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3,629</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4,608</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_____________________________________</w:t>
      </w:r>
    </w:p>
    <w:p>
      <w:pPr>
        <w:spacing w:after="0" w:line="5" w:lineRule="exact"/>
        <w:rPr>
          <w:sz w:val="20"/>
          <w:szCs w:val="20"/>
          <w:color w:val="auto"/>
        </w:rPr>
      </w:pPr>
    </w:p>
    <w:p>
      <w:pPr>
        <w:jc w:val="both"/>
        <w:ind w:left="340" w:hanging="332"/>
        <w:spacing w:after="0" w:line="223" w:lineRule="auto"/>
        <w:tabs>
          <w:tab w:leader="none" w:pos="34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Campbell Fresh segment includes accumulated impairment charges of $837 as of April 29, 2018, and $297 as of July 30, 2017 related to the Bolthouse Farms carrot and carrot ingredients reporting unit, the deli reporting unit, and the Bolthouse Farms refrigerated beverages and salad dressings reporting unit.</w:t>
      </w:r>
    </w:p>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March 2018, we acquired Snyder's-Lance for $6,112. Goodwill related to the acquisition was $2,867. In addition, we acquired Pacific Foods in December 2017 for $689 and goodwill related to the acquisition was $202. See Note 3 for additional information.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third quarter of 2018, we performed an interim impairment assessment on the intangible assets of the deli reporting unit, which includes Garden Fresh Gourmet and the U.S. refrigerated soup business, within Campbell Fresh. During the third quarter of 2018, certain of our private label refrigerated soup customers, which represent a majority of the business, informed us of their intention to in-source production beginning in 2019, and the sales and operating profit outlook of the Garden Fresh Gourmet business was reduced. Due to the anticipated loss of refrigerated soup business with these customers, as well as the recent performance of the Garden Fresh Gourmet business, we revised the long-term outlook for future sales, operating margins and discounted cash flows for this reporting unit, which resulted in an $81 impairment charge, representing a write-down of the remaining goodwill in the reporting unit.</w:t>
      </w:r>
    </w:p>
    <w:p>
      <w:pPr>
        <w:spacing w:after="0" w:line="13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addition, we performed an interim impairment assessment on the intangible assets of the Bolthouse Farms refrigerated beverages and salad dressings reporting unit as the operating performance in the third quarter was below expectations. We assessed sales performance of refrigerated beverages and key drivers impacting gross profit for the unit. We revised our long-term outlook for future earnings and discounted cash flows to reflect reduced sales expectations to modest growth and decreased our gross profit outlook to reflect the inflation and manufacturing efficiency pressures that remain with the unit. This revised outlook resulted in a $384 impairment charge, representing a write-down of the remaining goodwill in the reporting unit.</w:t>
      </w:r>
    </w:p>
    <w:p>
      <w:pPr>
        <w:sectPr>
          <w:pgSz w:w="11900" w:h="16838" w:orient="portrait"/>
          <w:cols w:equalWidth="0" w:num="1">
            <w:col w:w="11420"/>
          </w:cols>
          <w:pgMar w:left="240" w:top="1314"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14" w:right="239" w:bottom="1440" w:gutter="0" w:footer="0" w:header="0"/>
          <w:type w:val="continuous"/>
        </w:sectPr>
      </w:pPr>
    </w:p>
    <w:bookmarkStart w:id="12" w:name="page13"/>
    <w:bookmarkEnd w:id="12"/>
    <w:p>
      <w:pPr>
        <w:jc w:val="both"/>
        <w:ind w:firstLine="324"/>
        <w:spacing w:after="0" w:line="255" w:lineRule="auto"/>
        <w:rPr>
          <w:sz w:val="20"/>
          <w:szCs w:val="20"/>
          <w:color w:val="auto"/>
        </w:rPr>
      </w:pPr>
      <w:r>
        <w:rPr>
          <w:rFonts w:ascii="Arial" w:cs="Arial" w:eastAsia="Arial" w:hAnsi="Arial"/>
          <w:sz w:val="18"/>
          <w:szCs w:val="18"/>
          <w:color w:val="auto"/>
        </w:rPr>
        <w:t>During the second quarter of 2018, we performed an interim impairment assessment on the intangible assets of the Bolthouse Farms carrot and carrot ingredients reporting unit within Campbell Fresh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this performance, we reduced our outlook for future operating margins and discounted cash flows, which resulted in a $75 impairment charge, representing a write-down of the remaining goodwill in the reporting unit.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30,</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1,117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1,200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3,183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4,273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Snyder's of Hanover, Lance, Kettle Brand, Pace, Pacific Foods, Snack Factory,</w:t>
      </w:r>
      <w:r>
        <w:rPr>
          <w:rFonts w:ascii="Arial" w:cs="Arial" w:eastAsia="Arial" w:hAnsi="Arial"/>
          <w:sz w:val="18"/>
          <w:szCs w:val="18"/>
          <w:color w:val="auto"/>
        </w:rPr>
        <w:t xml:space="preserve"> </w:t>
      </w:r>
      <w:r>
        <w:rPr>
          <w:rFonts w:ascii="Arial" w:cs="Arial" w:eastAsia="Arial" w:hAnsi="Arial"/>
          <w:sz w:val="18"/>
          <w:szCs w:val="18"/>
          <w:i w:val="1"/>
          <w:iCs w:val="1"/>
          <w:color w:val="auto"/>
        </w:rPr>
        <w:t>Cape Cod, Bolthouse Farms</w:t>
      </w:r>
      <w:r>
        <w:rPr>
          <w:rFonts w:ascii="Arial" w:cs="Arial" w:eastAsia="Arial" w:hAnsi="Arial"/>
          <w:sz w:val="18"/>
          <w:szCs w:val="18"/>
          <w:color w:val="auto"/>
        </w:rPr>
        <w:t>,</w:t>
      </w:r>
      <w:r>
        <w:rPr>
          <w:rFonts w:ascii="Arial" w:cs="Arial" w:eastAsia="Arial" w:hAnsi="Arial"/>
          <w:sz w:val="18"/>
          <w:szCs w:val="18"/>
          <w:i w:val="1"/>
          <w:iCs w:val="1"/>
          <w:color w:val="auto"/>
        </w:rPr>
        <w:t xml:space="preserve"> Plum, Kjeldsens, </w:t>
      </w:r>
      <w:r>
        <w:rPr>
          <w:rFonts w:ascii="Arial" w:cs="Arial" w:eastAsia="Arial" w:hAnsi="Arial"/>
          <w:sz w:val="18"/>
          <w:szCs w:val="18"/>
          <w:color w:val="auto"/>
        </w:rPr>
        <w:t>and</w:t>
      </w:r>
      <w:r>
        <w:rPr>
          <w:rFonts w:ascii="Arial" w:cs="Arial" w:eastAsia="Arial" w:hAnsi="Arial"/>
          <w:sz w:val="18"/>
          <w:szCs w:val="18"/>
          <w:i w:val="1"/>
          <w:iCs w:val="1"/>
          <w:color w:val="auto"/>
        </w:rPr>
        <w:t xml:space="preserve"> Garden Fresh Gourmet</w:t>
      </w:r>
      <w:r>
        <w:rPr>
          <w:rFonts w:ascii="Arial" w:cs="Arial" w:eastAsia="Arial" w:hAnsi="Arial"/>
          <w:sz w:val="18"/>
          <w:szCs w:val="18"/>
          <w:color w:val="auto"/>
        </w:rPr>
        <w:t>. Other amortizable intangible assets consist of recipes, non-compete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patents and distributor relationships.</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Amortization of intangible assets was $18 and $15 for the nine-month periods ended April 29, 2018, and April 30, 2017, respectively. Amortization expense for the next 5 years is estimated to be $34 in 2018, $65 in 2019, $60 in 2020, and $59 in 2021 through 2022. Asset useful lives range from 5 to 20 years.</w:t>
      </w:r>
    </w:p>
    <w:p>
      <w:pPr>
        <w:spacing w:after="0" w:line="12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Due to the factors described above, we performed an interim impairment assessment in the third quarter of 2018 on the trademarks in the deli reporting unit and the Bolthouse Farms refrigerated beverages and salad dressings reporting unit. We recorded impairment charges of $13 related to the </w:t>
      </w:r>
      <w:r>
        <w:rPr>
          <w:rFonts w:ascii="Arial" w:cs="Arial" w:eastAsia="Arial" w:hAnsi="Arial"/>
          <w:sz w:val="16"/>
          <w:szCs w:val="16"/>
          <w:i w:val="1"/>
          <w:iCs w:val="1"/>
          <w:color w:val="auto"/>
        </w:rPr>
        <w:t>Garden Fresh</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Gourmet </w:t>
      </w:r>
      <w:r>
        <w:rPr>
          <w:rFonts w:ascii="Arial" w:cs="Arial" w:eastAsia="Arial" w:hAnsi="Arial"/>
          <w:sz w:val="16"/>
          <w:szCs w:val="16"/>
          <w:color w:val="auto"/>
        </w:rPr>
        <w:t>trademark within the deli reporting unit and $130 related to the</w:t>
      </w:r>
      <w:r>
        <w:rPr>
          <w:rFonts w:ascii="Arial" w:cs="Arial" w:eastAsia="Arial" w:hAnsi="Arial"/>
          <w:sz w:val="16"/>
          <w:szCs w:val="16"/>
          <w:i w:val="1"/>
          <w:iCs w:val="1"/>
          <w:color w:val="auto"/>
        </w:rPr>
        <w:t xml:space="preserve"> Bolthouse Farms </w:t>
      </w:r>
      <w:r>
        <w:rPr>
          <w:rFonts w:ascii="Arial" w:cs="Arial" w:eastAsia="Arial" w:hAnsi="Arial"/>
          <w:sz w:val="16"/>
          <w:szCs w:val="16"/>
          <w:color w:val="auto"/>
        </w:rPr>
        <w:t>refrigerated beverages and salad dressings trademark. This reduced</w:t>
      </w:r>
      <w:r>
        <w:rPr>
          <w:rFonts w:ascii="Arial" w:cs="Arial" w:eastAsia="Arial" w:hAnsi="Arial"/>
          <w:sz w:val="16"/>
          <w:szCs w:val="16"/>
          <w:i w:val="1"/>
          <w:iCs w:val="1"/>
          <w:color w:val="auto"/>
        </w:rPr>
        <w:t xml:space="preserve"> </w:t>
      </w:r>
      <w:r>
        <w:rPr>
          <w:rFonts w:ascii="Arial" w:cs="Arial" w:eastAsia="Arial" w:hAnsi="Arial"/>
          <w:sz w:val="16"/>
          <w:szCs w:val="16"/>
          <w:color w:val="auto"/>
        </w:rPr>
        <w:t>the fair value of the trademarks to $23 in the deli reporting unit and to $150 in the Bolthouse Farms refrigerated beverages and salad dressings reporting unit.</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second quarter of 2018, we performed an interim impairment assessment on the trademark in the Bolthouse Farms carrot and carrot ingredients reporting unit. The fair value of the trademark exceeded the carrying value, which was $48.</w:t>
      </w:r>
    </w:p>
    <w:p>
      <w:pPr>
        <w:spacing w:after="0" w:line="112"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Commencing in the third quarter of 2018 with the acquisition of Snyder's-Lance, we formed a new U.S. snacking unit, which combines Snyder's-Lance and Pepperidge Farm, and is an operating segment. As of the third quarter of 2018, we have four operating segments based primarily on product type, and three reportable segments. The U.S. snacking operating segment is aggregated with the international biscuit and snacks operating segment to form the Global Biscuits and Snacks reportable segment. The operating segments are aggregated based on similar economic characteristics, products, production processes, types or classes of customers, distribution methods, and regulatory environment. Our reportable segments are as follows:</w:t>
      </w:r>
    </w:p>
    <w:p>
      <w:pPr>
        <w:spacing w:after="0" w:line="104" w:lineRule="exact"/>
        <w:rPr>
          <w:sz w:val="20"/>
          <w:szCs w:val="20"/>
          <w:color w:val="auto"/>
        </w:rPr>
      </w:pPr>
    </w:p>
    <w:p>
      <w:pPr>
        <w:jc w:val="both"/>
        <w:ind w:left="660" w:hanging="328"/>
        <w:spacing w:after="0" w:line="279"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 xml:space="preserve">Americas Simple Meals and Beverages segment includes the retail and food service businesses in the U.S. and Canada.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 xml:space="preserve">Campbell’s </w:t>
      </w:r>
      <w:r>
        <w:rPr>
          <w:rFonts w:ascii="Arial" w:cs="Arial" w:eastAsia="Arial" w:hAnsi="Arial"/>
          <w:sz w:val="17"/>
          <w:szCs w:val="17"/>
          <w:color w:val="auto"/>
        </w:rPr>
        <w:t>gravies, pasta, beans and dinner sauces;</w:t>
      </w:r>
      <w:r>
        <w:rPr>
          <w:rFonts w:ascii="Arial" w:cs="Arial" w:eastAsia="Arial" w:hAnsi="Arial"/>
          <w:sz w:val="17"/>
          <w:szCs w:val="17"/>
          <w:i w:val="1"/>
          <w:iCs w:val="1"/>
          <w:color w:val="auto"/>
        </w:rPr>
        <w:t xml:space="preserve"> Swanson </w:t>
      </w:r>
      <w:r>
        <w:rPr>
          <w:rFonts w:ascii="Arial" w:cs="Arial" w:eastAsia="Arial" w:hAnsi="Arial"/>
          <w:sz w:val="17"/>
          <w:szCs w:val="17"/>
          <w:color w:val="auto"/>
        </w:rPr>
        <w:t>canned poultry;</w:t>
      </w:r>
      <w:r>
        <w:rPr>
          <w:rFonts w:ascii="Arial" w:cs="Arial" w:eastAsia="Arial" w:hAnsi="Arial"/>
          <w:sz w:val="17"/>
          <w:szCs w:val="17"/>
          <w:i w:val="1"/>
          <w:iCs w:val="1"/>
          <w:color w:val="auto"/>
        </w:rPr>
        <w:t xml:space="preserve"> Plum </w:t>
      </w:r>
      <w:r>
        <w:rPr>
          <w:rFonts w:ascii="Arial" w:cs="Arial" w:eastAsia="Arial" w:hAnsi="Arial"/>
          <w:sz w:val="17"/>
          <w:szCs w:val="17"/>
          <w:color w:val="auto"/>
        </w:rPr>
        <w:t>food and snacks;</w:t>
      </w:r>
      <w:r>
        <w:rPr>
          <w:rFonts w:ascii="Arial" w:cs="Arial" w:eastAsia="Arial" w:hAnsi="Arial"/>
          <w:sz w:val="17"/>
          <w:szCs w:val="17"/>
          <w:i w:val="1"/>
          <w:iCs w:val="1"/>
          <w:color w:val="auto"/>
        </w:rPr>
        <w:t xml:space="preserve"> V8 </w:t>
      </w:r>
      <w:r>
        <w:rPr>
          <w:rFonts w:ascii="Arial" w:cs="Arial" w:eastAsia="Arial" w:hAnsi="Arial"/>
          <w:sz w:val="17"/>
          <w:szCs w:val="17"/>
          <w:color w:val="auto"/>
        </w:rPr>
        <w:t>juices and beverages;</w:t>
      </w:r>
      <w:r>
        <w:rPr>
          <w:rFonts w:ascii="Arial" w:cs="Arial" w:eastAsia="Arial" w:hAnsi="Arial"/>
          <w:sz w:val="17"/>
          <w:szCs w:val="17"/>
          <w:i w:val="1"/>
          <w:iCs w:val="1"/>
          <w:color w:val="auto"/>
        </w:rPr>
        <w:t xml:space="preserve"> Campbell’s </w:t>
      </w:r>
      <w:r>
        <w:rPr>
          <w:rFonts w:ascii="Arial" w:cs="Arial" w:eastAsia="Arial" w:hAnsi="Arial"/>
          <w:sz w:val="17"/>
          <w:szCs w:val="17"/>
          <w:color w:val="auto"/>
        </w:rPr>
        <w:t>tomato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juice; and as of December 12, 2017, </w:t>
      </w:r>
      <w:r>
        <w:rPr>
          <w:rFonts w:ascii="Arial" w:cs="Arial" w:eastAsia="Arial" w:hAnsi="Arial"/>
          <w:sz w:val="17"/>
          <w:szCs w:val="17"/>
          <w:i w:val="1"/>
          <w:iCs w:val="1"/>
          <w:color w:val="auto"/>
        </w:rPr>
        <w:t>Pacific Foods</w:t>
      </w:r>
      <w:r>
        <w:rPr>
          <w:rFonts w:ascii="Arial" w:cs="Arial" w:eastAsia="Arial" w:hAnsi="Arial"/>
          <w:sz w:val="17"/>
          <w:szCs w:val="17"/>
          <w:color w:val="auto"/>
        </w:rPr>
        <w:t xml:space="preserve"> broth, soups, non-dairy beverages and other simple meals;</w:t>
      </w:r>
    </w:p>
    <w:p>
      <w:pPr>
        <w:spacing w:after="0" w:line="11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Global Biscuits and Snacks segment represents an aggregation of the following operating segments: U.S. snacks operating segment, which includes Pepperidge Farm cookies, crackers, bakery and frozen products in U.S. retail, and Snyder’s-Lance pretzels, sandwich crackers, potato chips, tortilla chips and other snacking products in the U.S. and Europe; and the international biscuits and snacks operating segment, which includes Arnott’s biscuits in Australia and Asia Pacific,</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4" w:right="239" w:bottom="1440" w:gutter="0" w:footer="0" w:header="0"/>
          <w:type w:val="continuous"/>
        </w:sectPr>
      </w:pPr>
    </w:p>
    <w:bookmarkStart w:id="13" w:name="page14"/>
    <w:bookmarkEnd w:id="13"/>
    <w:p>
      <w:pPr>
        <w:ind w:left="660"/>
        <w:spacing w:after="0" w:line="324" w:lineRule="auto"/>
        <w:rPr>
          <w:sz w:val="20"/>
          <w:szCs w:val="20"/>
          <w:color w:val="auto"/>
        </w:rPr>
      </w:pPr>
      <w:r>
        <w:rPr>
          <w:rFonts w:ascii="Arial" w:cs="Arial" w:eastAsia="Arial" w:hAnsi="Arial"/>
          <w:sz w:val="18"/>
          <w:szCs w:val="18"/>
          <w:color w:val="auto"/>
        </w:rPr>
        <w:t>Kelsen cookies globally, the simple meals and shelf-stable beverages business in Australia and Asia Pacific, and beginning in 2018, the business in Latin America; and</w:t>
      </w:r>
    </w:p>
    <w:p>
      <w:pPr>
        <w:spacing w:after="0" w:line="89" w:lineRule="exact"/>
        <w:rPr>
          <w:sz w:val="20"/>
          <w:szCs w:val="20"/>
          <w:color w:val="auto"/>
        </w:rPr>
      </w:pPr>
    </w:p>
    <w:p>
      <w:pPr>
        <w:ind w:left="660" w:right="2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Prior to 2018, the business in Latin America was managed as part of the Americas Simple Meals and Beverages segment. Segment results have been adjusted retrospectively to reflect this change.</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29,</w:t>
            </w:r>
          </w:p>
        </w:tc>
        <w:tc>
          <w:tcPr>
            <w:tcW w:w="20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April 30,</w:t>
            </w:r>
          </w:p>
        </w:tc>
        <w:tc>
          <w:tcPr>
            <w:tcW w:w="20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April 29,</w:t>
            </w:r>
          </w:p>
        </w:tc>
        <w:tc>
          <w:tcPr>
            <w:tcW w:w="200" w:type="dxa"/>
            <w:vAlign w:val="bottom"/>
          </w:tcPr>
          <w:p>
            <w:pPr>
              <w:spacing w:after="0"/>
              <w:rPr>
                <w:sz w:val="13"/>
                <w:szCs w:val="13"/>
                <w:color w:val="auto"/>
              </w:rPr>
            </w:pPr>
          </w:p>
        </w:tc>
        <w:tc>
          <w:tcPr>
            <w:tcW w:w="94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1,010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3,424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3,459</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2,297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2,025</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0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251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742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742</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w:t>
            </w:r>
          </w:p>
        </w:tc>
        <w:tc>
          <w:tcPr>
            <w:tcW w:w="2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2,125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1,853</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6,466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6,226</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5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4"/>
          </w:tcPr>
          <w:p>
            <w:pPr>
              <w:jc w:val="right"/>
              <w:ind w:right="47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29,</w:t>
            </w:r>
          </w:p>
        </w:tc>
        <w:tc>
          <w:tcPr>
            <w:tcW w:w="20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April 30,</w:t>
            </w:r>
          </w:p>
        </w:tc>
        <w:tc>
          <w:tcPr>
            <w:tcW w:w="200" w:type="dxa"/>
            <w:vAlign w:val="bottom"/>
          </w:tcPr>
          <w:p>
            <w:pPr>
              <w:spacing w:after="0"/>
              <w:rPr>
                <w:sz w:val="13"/>
                <w:szCs w:val="13"/>
                <w:color w:val="auto"/>
              </w:rPr>
            </w:pPr>
          </w:p>
        </w:tc>
        <w:tc>
          <w:tcPr>
            <w:tcW w:w="104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7"/>
              </w:rPr>
              <w:t>April 29,</w:t>
            </w:r>
          </w:p>
        </w:tc>
        <w:tc>
          <w:tcPr>
            <w:tcW w:w="200" w:type="dxa"/>
            <w:vAlign w:val="bottom"/>
          </w:tcPr>
          <w:p>
            <w:pPr>
              <w:spacing w:after="0"/>
              <w:rPr>
                <w:sz w:val="13"/>
                <w:szCs w:val="13"/>
                <w:color w:val="auto"/>
              </w:rPr>
            </w:pPr>
          </w:p>
        </w:tc>
        <w:tc>
          <w:tcPr>
            <w:tcW w:w="940" w:type="dxa"/>
            <w:vAlign w:val="bottom"/>
          </w:tcPr>
          <w:p>
            <w:pPr>
              <w:jc w:val="center"/>
              <w:ind w:right="155"/>
              <w:spacing w:after="0" w:line="153"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2"/>
        </w:trPr>
        <w:tc>
          <w:tcPr>
            <w:tcW w:w="65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200" w:type="dxa"/>
            <w:vAlign w:val="bottom"/>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b w:val="1"/>
                <w:bCs w:val="1"/>
                <w:color w:val="auto"/>
              </w:rPr>
              <w:t>217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6"/>
              <w:spacing w:after="0"/>
              <w:rPr>
                <w:sz w:val="20"/>
                <w:szCs w:val="20"/>
                <w:color w:val="auto"/>
              </w:rPr>
            </w:pPr>
            <w:r>
              <w:rPr>
                <w:rFonts w:ascii="Arial" w:cs="Arial" w:eastAsia="Arial" w:hAnsi="Arial"/>
                <w:sz w:val="18"/>
                <w:szCs w:val="18"/>
                <w:b w:val="1"/>
                <w:bCs w:val="1"/>
                <w:color w:val="auto"/>
              </w:rPr>
              <w:t>827</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915</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352</w:t>
            </w:r>
          </w:p>
        </w:tc>
        <w:tc>
          <w:tcPr>
            <w:tcW w:w="0" w:type="dxa"/>
            <w:vAlign w:val="bottom"/>
          </w:tcPr>
          <w:p>
            <w:pPr>
              <w:spacing w:after="0"/>
              <w:rPr>
                <w:sz w:val="1"/>
                <w:szCs w:val="1"/>
                <w:color w:val="auto"/>
              </w:rPr>
            </w:pP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(934)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70"/>
        </w:trPr>
        <w:tc>
          <w:tcPr>
            <w:tcW w:w="6540" w:type="dxa"/>
            <w:vAlign w:val="bottom"/>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180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75" w:lineRule="auto"/>
        <w:tabs>
          <w:tab w:leader="none" w:pos="340" w:val="left"/>
        </w:tabs>
        <w:numPr>
          <w:ilvl w:val="0"/>
          <w:numId w:val="12"/>
        </w:numPr>
        <w:rPr>
          <w:rFonts w:ascii="Arial" w:cs="Arial" w:eastAsia="Arial" w:hAnsi="Arial"/>
          <w:sz w:val="22"/>
          <w:szCs w:val="22"/>
          <w:color w:val="auto"/>
          <w:vertAlign w:val="superscript"/>
        </w:rPr>
      </w:pPr>
      <w:r>
        <w:rPr>
          <w:rFonts w:ascii="Arial" w:cs="Arial" w:eastAsia="Arial" w:hAnsi="Arial"/>
          <w:sz w:val="16"/>
          <w:szCs w:val="16"/>
          <w:color w:val="auto"/>
        </w:rPr>
        <w:t>Represents unallocated items. Pension and postretirement benefit mark-to-market adjustments are included in Corporate. There were gains of $14 in the nine-month period ended April 29, 2018, and losses of $20 in the nine-month period ended April 30, 2017. Costs related to the cost savings initiatives were $46 and $7 in the three-month periods ended April 29, 2018, and April 30, 2017, respectively, and $90 and $18 in the nine-month periods ended April 29, 2018, and April 30, 2017, respectively. Transaction and integration costs associated with the acquisition of Snyder's-Lance were $72 and $96 in the three- and nine-month periods ended April 29, 2018, respectively. Intangible asset impairment charges of $608 were included in the three-month period ended April 29, 2018, and $683 and $212 in the nine-month periods ended April 29, 2018, and April 30, 2017, respectively (See Note 5 for additional information). Plant asset impairment charges of $11 were include in the three- and nine-month periods ended April 29, 2018. A charge of $22 related to the settlement of a legal claim was included in the three- and nine-month periods ended April 29, 2018.</w:t>
      </w:r>
    </w:p>
    <w:p>
      <w:pPr>
        <w:ind w:left="340" w:hanging="332"/>
        <w:spacing w:after="0" w:line="225"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341" w:right="239" w:bottom="1440" w:gutter="0" w:footer="0" w:header="0"/>
        </w:sectPr>
      </w:pPr>
    </w:p>
    <w:bookmarkStart w:id="14" w:name="page15"/>
    <w:bookmarkEnd w:id="14"/>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29,</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30,</w:t>
            </w:r>
          </w:p>
        </w:tc>
        <w:tc>
          <w:tcPr>
            <w:tcW w:w="220" w:type="dxa"/>
            <w:vAlign w:val="bottom"/>
          </w:tcPr>
          <w:p>
            <w:pPr>
              <w:spacing w:after="0"/>
              <w:rPr>
                <w:sz w:val="13"/>
                <w:szCs w:val="13"/>
                <w:color w:val="auto"/>
              </w:rPr>
            </w:pPr>
          </w:p>
        </w:tc>
        <w:tc>
          <w:tcPr>
            <w:tcW w:w="11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April 29,</w:t>
            </w:r>
          </w:p>
        </w:tc>
        <w:tc>
          <w:tcPr>
            <w:tcW w:w="240" w:type="dxa"/>
            <w:vAlign w:val="bottom"/>
          </w:tcPr>
          <w:p>
            <w:pPr>
              <w:spacing w:after="0"/>
              <w:rPr>
                <w:sz w:val="13"/>
                <w:szCs w:val="13"/>
                <w:color w:val="auto"/>
              </w:rPr>
            </w:pPr>
          </w:p>
        </w:tc>
        <w:tc>
          <w:tcPr>
            <w:tcW w:w="102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April 30,</w:t>
            </w:r>
          </w:p>
        </w:tc>
      </w:tr>
      <w:tr>
        <w:trPr>
          <w:trHeight w:val="192"/>
        </w:trPr>
        <w:tc>
          <w:tcPr>
            <w:tcW w:w="60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Soup</w:t>
            </w:r>
          </w:p>
        </w:tc>
        <w:tc>
          <w:tcPr>
            <w:tcW w:w="22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596</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b w:val="1"/>
                <w:bCs w:val="1"/>
                <w:color w:val="auto"/>
              </w:rPr>
              <w:t>2,217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2,251</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Snacks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821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1,914</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429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b w:val="1"/>
                <w:bCs w:val="1"/>
                <w:color w:val="auto"/>
              </w:rPr>
              <w:t>1,298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1,299</w:t>
            </w:r>
          </w:p>
        </w:tc>
      </w:tr>
      <w:tr>
        <w:trPr>
          <w:trHeight w:val="27"/>
        </w:trPr>
        <w:tc>
          <w:tcPr>
            <w:tcW w:w="6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Beverages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762</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2,125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1,853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6,466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6,226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Soup includes various soup, broths and stock products. Snacks include cookies, pretzels, crackers, biscuits, popcorn, nuts, potato chips, tortilla chips and other salty snacks and baked products. Other simple meals include sauces, carrot products, refrigerated salad dressings, refrigerated salsa, hummus, dips and Plum foods and snacks.</w:t>
      </w:r>
    </w:p>
    <w:p>
      <w:pPr>
        <w:spacing w:after="0" w:line="123"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We extended the time horizon for the initiatives from 2018 to 2020.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Cost estimates for these expanded initiatives, as well as timing for certain activities, are continuing to be developed.</w:t>
      </w:r>
    </w:p>
    <w:p>
      <w:pPr>
        <w:spacing w:after="0" w:line="1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and charges recorded in Administrative expenses, Cost of products sold, and Marketing and selling expenses related to the initiatives is as follows: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64"/>
        </w:trPr>
        <w:tc>
          <w:tcPr>
            <w:tcW w:w="27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7"/>
              </w:rPr>
              <w:t>April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5"/>
              </w:rPr>
              <w:t>April 30, 2017</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w w:val="95"/>
              </w:rPr>
              <w:t>April 29, 2018</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4"/>
              </w:rPr>
              <w:t>July 30, 2017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2"/>
              </w:rPr>
              <w:t>July 31, 2016</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August 2, 2015</w:t>
            </w: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ind w:left="74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22</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140" w:type="dxa"/>
            <w:vAlign w:val="bottom"/>
          </w:tcPr>
          <w:p>
            <w:pPr>
              <w:spacing w:after="0"/>
              <w:rPr>
                <w:sz w:val="21"/>
                <w:szCs w:val="21"/>
                <w:color w:val="auto"/>
              </w:rPr>
            </w:pPr>
          </w:p>
        </w:tc>
        <w:tc>
          <w:tcPr>
            <w:tcW w:w="1040" w:type="dxa"/>
            <w:vAlign w:val="bottom"/>
          </w:tcPr>
          <w:p>
            <w:pPr>
              <w:jc w:val="right"/>
              <w:ind w:right="35"/>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7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196"/>
              <w:spacing w:after="0"/>
              <w:rPr>
                <w:sz w:val="20"/>
                <w:szCs w:val="20"/>
                <w:color w:val="auto"/>
              </w:rPr>
            </w:pPr>
            <w:r>
              <w:rPr>
                <w:rFonts w:ascii="Arial" w:cs="Arial" w:eastAsia="Arial" w:hAnsi="Arial"/>
                <w:sz w:val="14"/>
                <w:szCs w:val="14"/>
                <w:b w:val="1"/>
                <w:bCs w:val="1"/>
                <w:color w:val="auto"/>
                <w:w w:val="93"/>
              </w:rPr>
              <w:t>Recognized as of</w:t>
            </w:r>
          </w:p>
        </w:tc>
      </w:tr>
      <w:tr>
        <w:trPr>
          <w:trHeight w:val="192"/>
        </w:trPr>
        <w:tc>
          <w:tcPr>
            <w:tcW w:w="98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April 29, 2018</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180</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00" w:type="dxa"/>
            <w:vAlign w:val="bottom"/>
          </w:tcPr>
          <w:p>
            <w:pPr>
              <w:spacing w:after="0"/>
              <w:rPr>
                <w:sz w:val="21"/>
                <w:szCs w:val="21"/>
                <w:color w:val="auto"/>
              </w:rPr>
            </w:pPr>
          </w:p>
        </w:tc>
        <w:tc>
          <w:tcPr>
            <w:tcW w:w="1380" w:type="dxa"/>
            <w:vAlign w:val="bottom"/>
          </w:tcPr>
          <w:p>
            <w:pPr>
              <w:jc w:val="right"/>
              <w:ind w:right="16"/>
              <w:spacing w:after="0"/>
              <w:rPr>
                <w:sz w:val="20"/>
                <w:szCs w:val="20"/>
                <w:color w:val="auto"/>
              </w:rPr>
            </w:pPr>
            <w:r>
              <w:rPr>
                <w:rFonts w:ascii="Arial" w:cs="Arial" w:eastAsia="Arial" w:hAnsi="Arial"/>
                <w:sz w:val="18"/>
                <w:szCs w:val="18"/>
                <w:color w:val="auto"/>
              </w:rPr>
              <w:t>31</w:t>
            </w:r>
          </w:p>
        </w:tc>
      </w:tr>
      <w:tr>
        <w:trPr>
          <w:trHeight w:val="27"/>
        </w:trPr>
        <w:tc>
          <w:tcPr>
            <w:tcW w:w="9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192</w:t>
            </w: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403</w:t>
            </w:r>
          </w:p>
        </w:tc>
      </w:tr>
      <w:tr>
        <w:trPr>
          <w:trHeight w:val="20"/>
        </w:trPr>
        <w:tc>
          <w:tcPr>
            <w:tcW w:w="98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$535 to $580. We expect to incur substantially all of the costs through 2019. This estimate will be updated as costs for the expanded initiatives are developed.</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the costs for actions that have been identified to date to consist of the following: approximately $180 in severance pay and benefits; approximately $90 in asset impairment and accelerated depreciation; and approximately $265 to $310 in</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314" w:right="239" w:bottom="1440" w:gutter="0" w:footer="0" w:header="0"/>
          <w:type w:val="continuous"/>
        </w:sectPr>
      </w:pPr>
    </w:p>
    <w:bookmarkStart w:id="15" w:name="page16"/>
    <w:bookmarkEnd w:id="15"/>
    <w:p>
      <w:pPr>
        <w:jc w:val="both"/>
        <w:spacing w:after="0" w:line="342" w:lineRule="auto"/>
        <w:rPr>
          <w:sz w:val="20"/>
          <w:szCs w:val="20"/>
          <w:color w:val="auto"/>
        </w:rPr>
      </w:pPr>
      <w:r>
        <w:rPr>
          <w:rFonts w:ascii="Arial" w:cs="Arial" w:eastAsia="Arial" w:hAnsi="Arial"/>
          <w:sz w:val="16"/>
          <w:szCs w:val="16"/>
          <w:color w:val="auto"/>
        </w:rPr>
        <w:t>implementation costs and other related costs. We expect these pre-tax costs to be associated with our segments as follows: Americas Simple Meals and Beverages - approximately 43%; Global Biscuits and Snacks - approximately 31%; Campbell Fresh - approximately 4%; and Corporate - approximately 22%.</w:t>
      </w:r>
    </w:p>
    <w:p>
      <w:pPr>
        <w:spacing w:after="0" w:line="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Of the aggregate $535 to $580 of pre-tax costs identified to date, we expect approximately $435 to $480 will be cash expenditures. In addition, we expect to invest approximately $250 in capital expenditures through 2020 primarily related to the U.S. warehouse optimization project, transition of production of the Toronto manufacturing facility to our U.S. thermal plants, insourcing of manufacturing for certain simple meal products and optimization of information technology infrastructure and applications, of which we invested approximately $56 as of April 29, 2018.</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initiatives at April 29,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ind w:right="35"/>
              <w:spacing w:after="0"/>
              <w:rPr>
                <w:sz w:val="20"/>
                <w:szCs w:val="20"/>
                <w:color w:val="auto"/>
              </w:rPr>
            </w:pPr>
            <w:r>
              <w:rPr>
                <w:rFonts w:ascii="Arial" w:cs="Arial" w:eastAsia="Arial" w:hAnsi="Arial"/>
                <w:sz w:val="14"/>
                <w:szCs w:val="14"/>
                <w:b w:val="1"/>
                <w:bCs w:val="1"/>
                <w:color w:val="auto"/>
                <w:w w:val="88"/>
              </w:rPr>
              <w:t>Severance Pay</w:t>
            </w:r>
          </w:p>
        </w:tc>
        <w:tc>
          <w:tcPr>
            <w:tcW w:w="100" w:type="dxa"/>
            <w:vAlign w:val="bottom"/>
          </w:tcPr>
          <w:p>
            <w:pPr>
              <w:spacing w:after="0"/>
              <w:rPr>
                <w:sz w:val="14"/>
                <w:szCs w:val="14"/>
                <w:color w:val="auto"/>
              </w:rPr>
            </w:pPr>
          </w:p>
        </w:tc>
        <w:tc>
          <w:tcPr>
            <w:tcW w:w="10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Non-Cash</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Implementation Costs</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Asset</w:t>
            </w:r>
          </w:p>
        </w:tc>
        <w:tc>
          <w:tcPr>
            <w:tcW w:w="11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Other Non-</w:t>
            </w: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Other Related</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Impairment/Accelerated</w:t>
            </w: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Cash Exit</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Total Charges</w:t>
            </w:r>
          </w:p>
        </w:tc>
        <w:tc>
          <w:tcPr>
            <w:tcW w:w="0" w:type="dxa"/>
            <w:vAlign w:val="bottom"/>
          </w:tcPr>
          <w:p>
            <w:pPr>
              <w:spacing w:after="0"/>
              <w:rPr>
                <w:sz w:val="1"/>
                <w:szCs w:val="1"/>
                <w:color w:val="auto"/>
              </w:rPr>
            </w:pPr>
          </w:p>
        </w:tc>
      </w:tr>
      <w:tr>
        <w:trPr>
          <w:trHeight w:val="192"/>
        </w:trPr>
        <w:tc>
          <w:tcPr>
            <w:tcW w:w="3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95"/>
              <w:spacing w:after="0"/>
              <w:rPr>
                <w:sz w:val="20"/>
                <w:szCs w:val="20"/>
                <w:color w:val="auto"/>
              </w:rPr>
            </w:pPr>
            <w:r>
              <w:rPr>
                <w:rFonts w:ascii="Arial" w:cs="Arial" w:eastAsia="Arial" w:hAnsi="Arial"/>
                <w:sz w:val="14"/>
                <w:szCs w:val="14"/>
                <w:b w:val="1"/>
                <w:bCs w:val="1"/>
                <w:color w:val="auto"/>
                <w:w w:val="97"/>
              </w:rPr>
              <w:t>and Benefits</w:t>
            </w:r>
          </w:p>
        </w:tc>
        <w:tc>
          <w:tcPr>
            <w:tcW w:w="100" w:type="dxa"/>
            <w:vAlign w:val="bottom"/>
          </w:tcPr>
          <w:p>
            <w:pPr>
              <w:spacing w:after="0"/>
              <w:rPr>
                <w:sz w:val="16"/>
                <w:szCs w:val="16"/>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Benefits</w:t>
            </w:r>
            <w:r>
              <w:rPr>
                <w:rFonts w:ascii="Arial" w:cs="Arial" w:eastAsia="Arial" w:hAnsi="Arial"/>
                <w:sz w:val="8"/>
                <w:szCs w:val="8"/>
                <w:b w:val="1"/>
                <w:bCs w:val="1"/>
                <w:color w:val="auto"/>
              </w:rPr>
              <w:t>(3)</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(4)</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(5)</w:t>
            </w: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7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balance at July 30, 2017</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w:t>
            </w:r>
          </w:p>
        </w:tc>
        <w:tc>
          <w:tcPr>
            <w:tcW w:w="100" w:type="dxa"/>
            <w:vAlign w:val="bottom"/>
            <w:tcBorders>
              <w:top w:val="single" w:sz="8" w:color="CCEEFF"/>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80" w:type="dxa"/>
            <w:vAlign w:val="bottom"/>
            <w:tcBorders>
              <w:top w:val="single" w:sz="8" w:color="auto"/>
            </w:tcBorders>
            <w:shd w:val="clear" w:color="auto" w:fill="CCEEFF"/>
          </w:tcPr>
          <w:p>
            <w:pPr>
              <w:spacing w:after="0"/>
              <w:rPr>
                <w:sz w:val="23"/>
                <w:szCs w:val="23"/>
                <w:color w:val="auto"/>
              </w:rPr>
            </w:pPr>
          </w:p>
        </w:tc>
        <w:tc>
          <w:tcPr>
            <w:tcW w:w="6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60"/>
              <w:spacing w:after="0"/>
              <w:rPr>
                <w:sz w:val="20"/>
                <w:szCs w:val="20"/>
                <w:color w:val="auto"/>
              </w:rPr>
            </w:pPr>
            <w:r>
              <w:rPr>
                <w:rFonts w:ascii="Arial" w:cs="Arial" w:eastAsia="Arial" w:hAnsi="Arial"/>
                <w:sz w:val="18"/>
                <w:szCs w:val="18"/>
                <w:b w:val="1"/>
                <w:bCs w:val="1"/>
                <w:color w:val="auto"/>
              </w:rPr>
              <w:t>2018 charges</w:t>
            </w:r>
          </w:p>
        </w:tc>
        <w:tc>
          <w:tcPr>
            <w:tcW w:w="12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b w:val="1"/>
                <w:bCs w:val="1"/>
                <w:color w:val="auto"/>
              </w:rPr>
              <w:t>43</w:t>
            </w:r>
          </w:p>
        </w:tc>
        <w:tc>
          <w:tcPr>
            <w:tcW w:w="100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60" w:type="dxa"/>
            <w:vAlign w:val="bottom"/>
          </w:tcPr>
          <w:p>
            <w:pPr>
              <w:jc w:val="right"/>
              <w:ind w:right="24"/>
              <w:spacing w:after="0"/>
              <w:rPr>
                <w:sz w:val="20"/>
                <w:szCs w:val="20"/>
                <w:color w:val="auto"/>
              </w:rPr>
            </w:pPr>
            <w:r>
              <w:rPr>
                <w:rFonts w:ascii="Arial" w:cs="Arial" w:eastAsia="Arial" w:hAnsi="Arial"/>
                <w:sz w:val="18"/>
                <w:szCs w:val="18"/>
                <w:b w:val="1"/>
                <w:bCs w:val="1"/>
                <w:color w:val="auto"/>
              </w:rPr>
              <w:t>72</w:t>
            </w:r>
          </w:p>
        </w:tc>
        <w:tc>
          <w:tcPr>
            <w:tcW w:w="120" w:type="dxa"/>
            <w:vAlign w:val="bottom"/>
          </w:tcPr>
          <w:p>
            <w:pPr>
              <w:spacing w:after="0"/>
              <w:rPr>
                <w:sz w:val="21"/>
                <w:szCs w:val="21"/>
                <w:color w:val="auto"/>
              </w:rPr>
            </w:pPr>
          </w:p>
        </w:tc>
        <w:tc>
          <w:tcPr>
            <w:tcW w:w="1560" w:type="dxa"/>
            <w:vAlign w:val="bottom"/>
          </w:tcPr>
          <w:p>
            <w:pPr>
              <w:jc w:val="right"/>
              <w:ind w:right="64"/>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020" w:type="dxa"/>
            <w:vAlign w:val="bottom"/>
          </w:tcPr>
          <w:p>
            <w:pPr>
              <w:jc w:val="right"/>
              <w:ind w:right="44"/>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80" w:type="dxa"/>
            <w:vAlign w:val="bottom"/>
          </w:tcPr>
          <w:p>
            <w:pPr>
              <w:jc w:val="right"/>
              <w:ind w:right="179"/>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10"/>
              <w:spacing w:after="0"/>
              <w:rPr>
                <w:sz w:val="20"/>
                <w:szCs w:val="20"/>
                <w:color w:val="auto"/>
              </w:rPr>
            </w:pPr>
            <w:r>
              <w:rPr>
                <w:rFonts w:ascii="Arial" w:cs="Arial" w:eastAsia="Arial" w:hAnsi="Arial"/>
                <w:sz w:val="18"/>
                <w:szCs w:val="18"/>
                <w:b w:val="1"/>
                <w:bCs w:val="1"/>
                <w:color w:val="auto"/>
              </w:rPr>
              <w:t>139</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2018 cash payments</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60" w:type="dxa"/>
            <w:vAlign w:val="bottom"/>
          </w:tcPr>
          <w:p>
            <w:pPr>
              <w:ind w:left="280"/>
              <w:spacing w:after="0"/>
              <w:rPr>
                <w:sz w:val="20"/>
                <w:szCs w:val="20"/>
                <w:color w:val="auto"/>
              </w:rPr>
            </w:pPr>
            <w:r>
              <w:rPr>
                <w:rFonts w:ascii="Arial" w:cs="Arial" w:eastAsia="Arial" w:hAnsi="Arial"/>
                <w:sz w:val="18"/>
                <w:szCs w:val="18"/>
                <w:b w:val="1"/>
                <w:bCs w:val="1"/>
                <w:color w:val="auto"/>
              </w:rPr>
              <w:t>Foreign currency translation adjustment</w:t>
            </w: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b w:val="1"/>
                <w:bCs w:val="1"/>
                <w:color w:val="auto"/>
              </w:rPr>
              <w:t>Accrued balance at April 29, 2018</w:t>
            </w:r>
            <w:r>
              <w:rPr>
                <w:rFonts w:ascii="Arial" w:cs="Arial" w:eastAsia="Arial" w:hAnsi="Arial"/>
                <w:sz w:val="25"/>
                <w:szCs w:val="25"/>
                <w:b w:val="1"/>
                <w:bCs w:val="1"/>
                <w:color w:val="auto"/>
                <w:vertAlign w:val="superscript"/>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w w:val="95"/>
              </w:rPr>
              <w:t>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$2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Includes $29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Represents pension termination benefits. See Note 10 for additional information.</w:t>
      </w:r>
    </w:p>
    <w:p>
      <w:pPr>
        <w:spacing w:after="0" w:line="2" w:lineRule="exact"/>
        <w:rPr>
          <w:rFonts w:ascii="Arial" w:cs="Arial" w:eastAsia="Arial" w:hAnsi="Arial"/>
          <w:sz w:val="24"/>
          <w:szCs w:val="24"/>
          <w:color w:val="auto"/>
          <w:vertAlign w:val="superscript"/>
        </w:rPr>
      </w:pPr>
    </w:p>
    <w:p>
      <w:pPr>
        <w:ind w:left="340" w:hanging="332"/>
        <w:spacing w:after="0" w:line="219" w:lineRule="auto"/>
        <w:tabs>
          <w:tab w:leader="none" w:pos="34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Includes other costs recognized as incurred that are not reflected in the restructuring reserve in the Consolidated Balance Sheet. The costs are included in Administrative expenses, Cost of products sold, and Marketing and selling expenses in the Consolidated Statements of Earnings.</w:t>
      </w:r>
    </w:p>
    <w:p>
      <w:pPr>
        <w:ind w:left="340" w:hanging="332"/>
        <w:spacing w:after="0" w:line="180" w:lineRule="auto"/>
        <w:tabs>
          <w:tab w:leader="none" w:pos="340" w:val="left"/>
        </w:tabs>
        <w:numPr>
          <w:ilvl w:val="0"/>
          <w:numId w:val="14"/>
        </w:numPr>
        <w:rPr>
          <w:rFonts w:ascii="Arial" w:cs="Arial" w:eastAsia="Arial" w:hAnsi="Arial"/>
          <w:sz w:val="25"/>
          <w:szCs w:val="25"/>
          <w:color w:val="auto"/>
          <w:vertAlign w:val="superscript"/>
        </w:rPr>
      </w:pPr>
      <w:r>
        <w:rPr>
          <w:rFonts w:ascii="Arial" w:cs="Arial" w:eastAsia="Arial" w:hAnsi="Arial"/>
          <w:sz w:val="18"/>
          <w:szCs w:val="18"/>
          <w:color w:val="auto"/>
        </w:rPr>
        <w:t>Includes non-cash costs that are not reflected in the restructuring reserve in the Consolidated Balance Sheet.</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April 29, 2018</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3"/>
              </w:rPr>
              <w:t>Costs Incurred to</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Snyder's-Lance Cost Transformation Program and Integration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developing the detailed plans to implement the Snyder's-Lance cost transformation program and to achieve the cost synergies and therefore we cannot reasonably estimate the total expected pre-tax costs and timing of when we expect to incur those costs, as well as the expected future cash expenditures. We expect the pre-tax costs to be associated primarily with Global Biscuits and Snacks.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three-month period ended April 29, 2018, we recorded a restructuring charge of $10 and incurred $6 in Administrative expenses related to the integration of Snyder's-Lance.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4"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Snyder's-Lance integration at April 29,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57"/>
              <w:spacing w:after="0"/>
              <w:rPr>
                <w:sz w:val="20"/>
                <w:szCs w:val="20"/>
                <w:color w:val="auto"/>
              </w:rPr>
            </w:pPr>
            <w:r>
              <w:rPr>
                <w:rFonts w:ascii="Arial" w:cs="Arial" w:eastAsia="Arial" w:hAnsi="Arial"/>
                <w:sz w:val="14"/>
                <w:szCs w:val="14"/>
                <w:b w:val="1"/>
                <w:bCs w:val="1"/>
                <w:color w:val="auto"/>
                <w:w w:val="88"/>
              </w:rPr>
              <w:t>Severance Pay</w:t>
            </w:r>
          </w:p>
        </w:tc>
        <w:tc>
          <w:tcPr>
            <w:tcW w:w="100" w:type="dxa"/>
            <w:vAlign w:val="bottom"/>
          </w:tcPr>
          <w:p>
            <w:pPr>
              <w:spacing w:after="0"/>
              <w:rPr>
                <w:sz w:val="14"/>
                <w:szCs w:val="14"/>
                <w:color w:val="auto"/>
              </w:rPr>
            </w:pPr>
          </w:p>
        </w:tc>
        <w:tc>
          <w:tcPr>
            <w:tcW w:w="15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Implementation and</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Total Charges</w:t>
            </w:r>
          </w:p>
        </w:tc>
        <w:tc>
          <w:tcPr>
            <w:tcW w:w="0" w:type="dxa"/>
            <w:vAlign w:val="bottom"/>
          </w:tcPr>
          <w:p>
            <w:pPr>
              <w:spacing w:after="0"/>
              <w:rPr>
                <w:sz w:val="1"/>
                <w:szCs w:val="1"/>
                <w:color w:val="auto"/>
              </w:rPr>
            </w:pPr>
          </w:p>
        </w:tc>
      </w:tr>
      <w:tr>
        <w:trPr>
          <w:trHeight w:val="192"/>
        </w:trPr>
        <w:tc>
          <w:tcPr>
            <w:tcW w:w="75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7"/>
              </w:rPr>
              <w:t>and Benefits</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Integration Costs</w:t>
            </w:r>
            <w:r>
              <w:rPr>
                <w:rFonts w:ascii="Arial" w:cs="Arial" w:eastAsia="Arial" w:hAnsi="Arial"/>
                <w:sz w:val="8"/>
                <w:szCs w:val="8"/>
                <w:b w:val="1"/>
                <w:bCs w:val="1"/>
                <w:color w:val="auto"/>
              </w:rPr>
              <w:t>(1)</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5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2018 charges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w:t>
            </w:r>
          </w:p>
        </w:tc>
        <w:tc>
          <w:tcPr>
            <w:tcW w:w="15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b w:val="1"/>
                <w:bCs w:val="1"/>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w:t>
            </w:r>
          </w:p>
        </w:tc>
        <w:tc>
          <w:tcPr>
            <w:tcW w:w="0" w:type="dxa"/>
            <w:vAlign w:val="bottom"/>
          </w:tcPr>
          <w:p>
            <w:pPr>
              <w:spacing w:after="0"/>
              <w:rPr>
                <w:sz w:val="1"/>
                <w:szCs w:val="1"/>
                <w:color w:val="auto"/>
              </w:rPr>
            </w:pPr>
          </w:p>
        </w:tc>
      </w:tr>
      <w:tr>
        <w:trPr>
          <w:trHeight w:val="243"/>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2018 cash payments</w:t>
            </w:r>
          </w:p>
        </w:tc>
        <w:tc>
          <w:tcPr>
            <w:tcW w:w="120" w:type="dxa"/>
            <w:vAlign w:val="bottom"/>
          </w:tcPr>
          <w:p>
            <w:pPr>
              <w:spacing w:after="0"/>
              <w:rPr>
                <w:sz w:val="21"/>
                <w:szCs w:val="21"/>
                <w:color w:val="auto"/>
              </w:rPr>
            </w:pPr>
          </w:p>
        </w:tc>
        <w:tc>
          <w:tcPr>
            <w:tcW w:w="1040" w:type="dxa"/>
            <w:vAlign w:val="bottom"/>
          </w:tcPr>
          <w:p>
            <w:pPr>
              <w:jc w:val="right"/>
              <w:ind w:right="37"/>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Accrued balance at April 29, 2018</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jc w:val="right"/>
              <w:ind w:right="3930"/>
              <w:spacing w:after="0"/>
              <w:rPr>
                <w:sz w:val="20"/>
                <w:szCs w:val="20"/>
                <w:color w:val="auto"/>
              </w:rPr>
            </w:pPr>
            <w:r>
              <w:rPr>
                <w:rFonts w:ascii="Arial" w:cs="Arial" w:eastAsia="Arial" w:hAnsi="Arial"/>
                <w:sz w:val="18"/>
                <w:szCs w:val="18"/>
                <w:color w:val="auto"/>
                <w:w w:val="89"/>
              </w:rPr>
              <w:t>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line="216" w:lineRule="auto"/>
        <w:tabs>
          <w:tab w:leader="none" w:pos="340" w:val="left"/>
        </w:tabs>
        <w:numPr>
          <w:ilvl w:val="0"/>
          <w:numId w:val="15"/>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6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Segment operating results do not include restructuring charges, nor implementation and integration costs because we evaluate segment performance excluding such charges. The pre-tax costs of $16 incurred in the three-month period ended April 29, 2018 were associated with the Global Biscuits and Snacks segment.</w:t>
      </w:r>
    </w:p>
    <w:p>
      <w:pPr>
        <w:spacing w:after="0" w:line="123"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per share calculation for the three-month period ended April 29, 2018, excludes approximately 2 million stock options that would have been antidilutive. The earnings per share calculation for the nine-month period ended April 29, 2018, excludes approximately 1 million stock options that would have been antidilutive. The earnings per share calculation for the three- and nine-month periods ended April 30, 2017, excludes less than 1 million stock options that would have been antidilutive.</w:t>
      </w:r>
    </w:p>
    <w:p>
      <w:pPr>
        <w:spacing w:after="0" w:line="135"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the development of our soup and broth business in China and a 70% controlling interest in a Malaysian food products manufacturing company. We also own a 99.8% interest in Acre Venture Partners, L.P. (Acre), a limited partnership formed to make venture capital investments in innovative new companies in food and food-related industries. See Note 14 for additional information.</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March 26, 2018, we acquired Snyder's-Lance, including an 80% interest in one of its subsidiaries. In April 2018, we purchased the remaining 20% interest for $47.</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123"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Components of net benefit expense (income) were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2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29,</w:t>
            </w:r>
          </w:p>
        </w:tc>
        <w:tc>
          <w:tcPr>
            <w:tcW w:w="200" w:type="dxa"/>
            <w:vAlign w:val="bottom"/>
          </w:tcPr>
          <w:p>
            <w:pPr>
              <w:spacing w:after="0"/>
              <w:rPr>
                <w:sz w:val="13"/>
                <w:szCs w:val="13"/>
                <w:color w:val="auto"/>
              </w:rPr>
            </w:pPr>
          </w:p>
        </w:tc>
        <w:tc>
          <w:tcPr>
            <w:tcW w:w="94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April 30,</w:t>
            </w:r>
          </w:p>
        </w:tc>
        <w:tc>
          <w:tcPr>
            <w:tcW w:w="180" w:type="dxa"/>
            <w:vAlign w:val="bottom"/>
          </w:tcPr>
          <w:p>
            <w:pPr>
              <w:spacing w:after="0"/>
              <w:rPr>
                <w:sz w:val="13"/>
                <w:szCs w:val="13"/>
                <w:color w:val="auto"/>
              </w:rPr>
            </w:pPr>
          </w:p>
        </w:tc>
        <w:tc>
          <w:tcPr>
            <w:tcW w:w="960" w:type="dxa"/>
            <w:vAlign w:val="bottom"/>
            <w:gridSpan w:val="2"/>
          </w:tcPr>
          <w:p>
            <w:pPr>
              <w:jc w:val="right"/>
              <w:ind w:right="380"/>
              <w:spacing w:after="0" w:line="153" w:lineRule="exact"/>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3"/>
                <w:szCs w:val="13"/>
                <w:color w:val="auto"/>
              </w:rPr>
            </w:pPr>
          </w:p>
        </w:tc>
        <w:tc>
          <w:tcPr>
            <w:tcW w:w="96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29,</w:t>
            </w:r>
          </w:p>
        </w:tc>
        <w:tc>
          <w:tcPr>
            <w:tcW w:w="220" w:type="dxa"/>
            <w:vAlign w:val="bottom"/>
          </w:tcPr>
          <w:p>
            <w:pPr>
              <w:spacing w:after="0"/>
              <w:rPr>
                <w:sz w:val="13"/>
                <w:szCs w:val="13"/>
                <w:color w:val="auto"/>
              </w:rPr>
            </w:pPr>
          </w:p>
        </w:tc>
        <w:tc>
          <w:tcPr>
            <w:tcW w:w="92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April 30,</w:t>
            </w:r>
          </w:p>
        </w:tc>
        <w:tc>
          <w:tcPr>
            <w:tcW w:w="160" w:type="dxa"/>
            <w:vAlign w:val="bottom"/>
          </w:tcPr>
          <w:p>
            <w:pPr>
              <w:spacing w:after="0"/>
              <w:rPr>
                <w:sz w:val="13"/>
                <w:szCs w:val="13"/>
                <w:color w:val="auto"/>
              </w:rPr>
            </w:pPr>
          </w:p>
        </w:tc>
        <w:tc>
          <w:tcPr>
            <w:tcW w:w="9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April 29,</w:t>
            </w:r>
          </w:p>
        </w:tc>
        <w:tc>
          <w:tcPr>
            <w:tcW w:w="160" w:type="dxa"/>
            <w:vAlign w:val="bottom"/>
          </w:tcPr>
          <w:p>
            <w:pPr>
              <w:spacing w:after="0"/>
              <w:rPr>
                <w:sz w:val="13"/>
                <w:szCs w:val="13"/>
                <w:color w:val="auto"/>
              </w:rPr>
            </w:pPr>
          </w:p>
        </w:tc>
        <w:tc>
          <w:tcPr>
            <w:tcW w:w="860" w:type="dxa"/>
            <w:vAlign w:val="bottom"/>
          </w:tcPr>
          <w:p>
            <w:pPr>
              <w:jc w:val="right"/>
              <w:ind w:right="174"/>
              <w:spacing w:after="0" w:line="153" w:lineRule="exact"/>
              <w:rPr>
                <w:sz w:val="20"/>
                <w:szCs w:val="20"/>
                <w:color w:val="auto"/>
              </w:rPr>
            </w:pPr>
            <w:r>
              <w:rPr>
                <w:rFonts w:ascii="Arial" w:cs="Arial" w:eastAsia="Arial" w:hAnsi="Arial"/>
                <w:sz w:val="14"/>
                <w:szCs w:val="14"/>
                <w:b w:val="1"/>
                <w:bCs w:val="1"/>
                <w:color w:val="auto"/>
              </w:rPr>
              <w:t>April 30,</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24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80" w:type="dxa"/>
            <w:vAlign w:val="bottom"/>
          </w:tcPr>
          <w:p>
            <w:pPr>
              <w:spacing w:after="0"/>
              <w:rPr>
                <w:sz w:val="21"/>
                <w:szCs w:val="21"/>
                <w:color w:val="auto"/>
              </w:rPr>
            </w:pPr>
          </w:p>
        </w:tc>
        <w:tc>
          <w:tcPr>
            <w:tcW w:w="880" w:type="dxa"/>
            <w:vAlign w:val="bottom"/>
          </w:tcPr>
          <w:p>
            <w:pPr>
              <w:jc w:val="right"/>
              <w:ind w:right="36"/>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6"/>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15"/>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6"/>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6"/>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Expected return on plan assets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420" w:type="dxa"/>
            <w:vAlign w:val="bottom"/>
          </w:tcPr>
          <w:p>
            <w:pPr>
              <w:ind w:left="40"/>
              <w:spacing w:after="0"/>
              <w:rPr>
                <w:sz w:val="20"/>
                <w:szCs w:val="20"/>
                <w:color w:val="auto"/>
              </w:rPr>
            </w:pPr>
            <w:r>
              <w:rPr>
                <w:rFonts w:ascii="Arial" w:cs="Arial" w:eastAsia="Arial" w:hAnsi="Arial"/>
                <w:sz w:val="18"/>
                <w:szCs w:val="18"/>
                <w:color w:val="auto"/>
              </w:rPr>
              <w:t>Amortization of prior service</w:t>
            </w:r>
          </w:p>
        </w:tc>
        <w:tc>
          <w:tcPr>
            <w:tcW w:w="180" w:type="dxa"/>
            <w:vAlign w:val="bottom"/>
          </w:tcPr>
          <w:p>
            <w:pPr>
              <w:spacing w:after="0"/>
              <w:rPr>
                <w:sz w:val="19"/>
                <w:szCs w:val="19"/>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40"/>
              <w:spacing w:after="0"/>
              <w:rPr>
                <w:sz w:val="20"/>
                <w:szCs w:val="20"/>
                <w:color w:val="auto"/>
              </w:rPr>
            </w:pPr>
            <w:r>
              <w:rPr>
                <w:rFonts w:ascii="Arial" w:cs="Arial" w:eastAsia="Arial" w:hAnsi="Arial"/>
                <w:sz w:val="18"/>
                <w:szCs w:val="18"/>
                <w:color w:val="auto"/>
              </w:rPr>
              <w:t>credit</w:t>
            </w:r>
          </w:p>
        </w:tc>
        <w:tc>
          <w:tcPr>
            <w:tcW w:w="18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termination benefits</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420" w:type="dxa"/>
            <w:vAlign w:val="bottom"/>
          </w:tcPr>
          <w:p>
            <w:pPr>
              <w:ind w:left="40"/>
              <w:spacing w:after="0"/>
              <w:rPr>
                <w:sz w:val="20"/>
                <w:szCs w:val="20"/>
                <w:color w:val="auto"/>
              </w:rPr>
            </w:pPr>
            <w:r>
              <w:rPr>
                <w:rFonts w:ascii="Arial" w:cs="Arial" w:eastAsia="Arial" w:hAnsi="Arial"/>
                <w:sz w:val="18"/>
                <w:szCs w:val="18"/>
                <w:color w:val="auto"/>
              </w:rPr>
              <w:t>Net periodic benefit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4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2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7" w:name="page18"/>
    <w:bookmarkEnd w:id="17"/>
    <w:p>
      <w:pPr>
        <w:jc w:val="both"/>
        <w:ind w:right="20" w:firstLine="324"/>
        <w:spacing w:after="0" w:line="277" w:lineRule="auto"/>
        <w:rPr>
          <w:sz w:val="20"/>
          <w:szCs w:val="20"/>
          <w:color w:val="auto"/>
        </w:rPr>
      </w:pPr>
      <w:r>
        <w:rPr>
          <w:rFonts w:ascii="Arial" w:cs="Arial" w:eastAsia="Arial" w:hAnsi="Arial"/>
          <w:sz w:val="18"/>
          <w:szCs w:val="18"/>
          <w:color w:val="auto"/>
        </w:rPr>
        <w:t>The special termination benefits of $2 related to the planned closure of the manufacturing facility in Toronto, Ontario, and were included in Restructuring charges. See Note 7 for additional information.</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components of net periodic benefit expense (income) other than the service cost component are included in Other expenses / (income) in the Consolidated Statements of Earnings. Beginning in 2018, under the revised FASB guidance adopted in the first quarter, only the service cost component of net periodic benefit expense (income) is eligible for capitalization.</w:t>
      </w:r>
    </w:p>
    <w:p>
      <w:pPr>
        <w:spacing w:after="0" w:line="127"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Beginning in 2018, we changed the method we use to estimate the service and interest cost components of net periodic benefit expense (income). We elected to use a full yield curve approach to estimate service cost and interest cost by applying the specific spot rates along the yield curve used to determine the benefit obligation of the relevant projected cash flows. Previously, we estimated service cost and interest cost using a single weighted-average discount rate derived from the yield curve used to measure the benefit obligation at the beginning of the period. We are making this change to provide a more precise measurement of service cost and interest cost by improving the correlation between projected benefit cash flows and the corresponding spot yield curve rates. This change will not affect the measurement of our benefit obligations. We accounted for this change prospectively in 2018 as a change in accounting estimate. As a result of this change, net periodic benefit income increased by approximately $4 and $12 in the three- and nine-month periods ended April 29, 2018, respectively, compared to what the net periodic benefit income would have been under the previous method.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Taxes on Earnings</w:t>
      </w:r>
    </w:p>
    <w:p>
      <w:pPr>
        <w:spacing w:after="0" w:line="9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Tax Cuts and Jobs Act of 2017 (the Act) was enacted into law on December 22, 2017, and made significant changes to corporate taxation. Changes under the Act include:</w:t>
      </w:r>
    </w:p>
    <w:p>
      <w:pPr>
        <w:spacing w:after="0" w:line="8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Reducing the federal corporate tax rate from 35% to 21% effective January 1, 2018;</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Eliminating the deduction for domestic manufacturing activities, which impacts us beginning in 2019;</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Repealing the exception for deductibility of performance-based compensation to covered employees, which impacts us beginning in 2019, along with expanding the number of covered employees;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Transitioning to a territorial system for taxation on foreign earnings along with the imposition of a transition tax in 2018 on the deemed repatriation of unremitted foreign earnings;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the deductibility of interest expense to 30% of adjusted taxable income, which is effective for us beginning in 2019;</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Immediate expensing of machinery and equipment placed into service after September 27, 2017; and</w:t>
      </w:r>
    </w:p>
    <w:p>
      <w:pPr>
        <w:spacing w:after="0" w:line="171" w:lineRule="exact"/>
        <w:rPr>
          <w:rFonts w:ascii="Arial" w:cs="Arial" w:eastAsia="Arial" w:hAnsi="Arial"/>
          <w:sz w:val="18"/>
          <w:szCs w:val="18"/>
          <w:color w:val="auto"/>
        </w:rPr>
      </w:pPr>
    </w:p>
    <w:p>
      <w:pPr>
        <w:ind w:left="660" w:hanging="328"/>
        <w:spacing w:after="0" w:line="334"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Changes to the taxation of multinational companies, including a new minimum tax on Global Intangible Low-Taxed Income, a new Base Erosion Anti-Abuse Tax, and a new U.S. corporate deduction for Foreign-Derived Intangible Income, all of which are effective for us beginning in 2019.</w:t>
      </w:r>
    </w:p>
    <w:p>
      <w:pPr>
        <w:spacing w:after="0" w:line="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U.S. Securities and Exchange Commission recently released Staff Accounting Bulletin (SAB) 118, which allows for a measurement period while a company obtains, prepares, and analyzes the information necessary to finalize its accounting for the effects of the Act. Specifically, SAB 118 details a three-step process that should apply to each reporting period:</w:t>
      </w:r>
    </w:p>
    <w:p>
      <w:pPr>
        <w:spacing w:after="0" w:line="100"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First, report the effects of the Act for which the accounting is complete;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Second, report provisional amounts for which the accounting is not complete, but a reasonable estimate can be determined;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 do not report a provisional amount for which a reasonable estimate cannot be made.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Based on the Act and SAB 118, the following items are reflected in 2018:</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w w:val="98"/>
              </w:rPr>
              <w:t>Three Months Ended</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9"/>
              </w:rPr>
              <w:t>Nine Months Ended</w:t>
            </w:r>
          </w:p>
        </w:tc>
      </w:tr>
      <w:tr>
        <w:trPr>
          <w:trHeight w:val="250"/>
        </w:trPr>
        <w:tc>
          <w:tcPr>
            <w:tcW w:w="7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(Expense) / Benefit</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April 29, 2018</w:t>
            </w:r>
          </w:p>
        </w:tc>
      </w:tr>
      <w:tr>
        <w:trPr>
          <w:trHeight w:val="250"/>
        </w:trPr>
        <w:tc>
          <w:tcPr>
            <w:tcW w:w="76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Remeasurement of deferred tax assets and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179</w:t>
            </w:r>
          </w:p>
        </w:tc>
      </w:tr>
      <w:tr>
        <w:trPr>
          <w:trHeight w:val="243"/>
        </w:trPr>
        <w:tc>
          <w:tcPr>
            <w:tcW w:w="7660" w:type="dxa"/>
            <w:vAlign w:val="bottom"/>
            <w:gridSpan w:val="2"/>
          </w:tcPr>
          <w:p>
            <w:pPr>
              <w:ind w:left="180"/>
              <w:spacing w:after="0"/>
              <w:rPr>
                <w:sz w:val="20"/>
                <w:szCs w:val="20"/>
                <w:color w:val="auto"/>
              </w:rPr>
            </w:pPr>
            <w:r>
              <w:rPr>
                <w:rFonts w:ascii="Arial" w:cs="Arial" w:eastAsia="Arial" w:hAnsi="Arial"/>
                <w:sz w:val="18"/>
                <w:szCs w:val="18"/>
                <w:color w:val="auto"/>
              </w:rPr>
              <w:t>Imposition of a transition tax on unremitted foreign earnings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addition, the corporate rate reduction as of January 1, 2018, resulted in a blended U.S. statutory tax rate of approximately 27%.</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amounts recorded represent provisional amounts based on our best estimates and current interpretation of the provisions of the Act and may change as additional guidance is issued.</w:t>
      </w:r>
    </w:p>
    <w:p>
      <w:pPr>
        <w:sectPr>
          <w:pgSz w:w="11900" w:h="16838" w:orient="portrait"/>
          <w:cols w:equalWidth="0" w:num="1">
            <w:col w:w="11420"/>
          </w:cols>
          <w:pgMar w:left="240" w:top="1314" w:right="2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4" w:right="2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12. Debt to Finance the Acquisition of Snyder's-Lance</w:t>
      </w:r>
    </w:p>
    <w:p>
      <w:pPr>
        <w:spacing w:after="0" w:line="94"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issued $5,300 senior notes on March 16, 2018, and borrowed $900 under a single draw 3-year senior unsecured term loan facility on March 26, 2018 to finance the acquisition of Snyder's-Lance. Details are as follows: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Type</w:t>
            </w:r>
          </w:p>
        </w:tc>
        <w:tc>
          <w:tcPr>
            <w:tcW w:w="1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Fiscal Year of</w:t>
            </w:r>
          </w:p>
        </w:tc>
        <w:tc>
          <w:tcPr>
            <w:tcW w:w="19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Rate</w:t>
            </w:r>
          </w:p>
        </w:tc>
        <w:tc>
          <w:tcPr>
            <w:tcW w:w="280" w:type="dxa"/>
            <w:vAlign w:val="bottom"/>
          </w:tcPr>
          <w:p>
            <w:pPr>
              <w:spacing w:after="0"/>
              <w:rPr>
                <w:sz w:val="14"/>
                <w:szCs w:val="14"/>
                <w:color w:val="auto"/>
              </w:rPr>
            </w:pPr>
          </w:p>
        </w:tc>
        <w:tc>
          <w:tcPr>
            <w:tcW w:w="9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58"/>
        </w:trPr>
        <w:tc>
          <w:tcPr>
            <w:tcW w:w="6520" w:type="dxa"/>
            <w:vAlign w:val="bottom"/>
            <w:gridSpan w:val="3"/>
            <w:vMerge w:val="continue"/>
          </w:tcPr>
          <w:p>
            <w:pPr>
              <w:spacing w:after="0"/>
              <w:rPr>
                <w:sz w:val="13"/>
                <w:szCs w:val="13"/>
                <w:color w:val="auto"/>
              </w:rPr>
            </w:pPr>
          </w:p>
        </w:tc>
        <w:tc>
          <w:tcPr>
            <w:tcW w:w="13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rPr>
              <w:t>Maturity</w:t>
            </w:r>
          </w:p>
        </w:tc>
        <w:tc>
          <w:tcPr>
            <w:tcW w:w="19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CCEEFF"/>
            </w:tcBorders>
          </w:tcPr>
          <w:p>
            <w:pPr>
              <w:spacing w:after="0" w:line="20" w:lineRule="exact"/>
              <w:rPr>
                <w:sz w:val="1"/>
                <w:szCs w:val="1"/>
                <w:color w:val="auto"/>
              </w:rPr>
            </w:pPr>
          </w:p>
        </w:tc>
        <w:tc>
          <w:tcPr>
            <w:tcW w:w="61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500</w:t>
            </w:r>
          </w:p>
        </w:tc>
        <w:tc>
          <w:tcPr>
            <w:tcW w:w="0" w:type="dxa"/>
            <w:vAlign w:val="bottom"/>
          </w:tcPr>
          <w:p>
            <w:pPr>
              <w:spacing w:after="0"/>
              <w:rPr>
                <w:sz w:val="1"/>
                <w:szCs w:val="1"/>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98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Variable</w:t>
            </w: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400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Senior Term Loan</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Variable</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900</w:t>
            </w:r>
          </w:p>
        </w:tc>
        <w:tc>
          <w:tcPr>
            <w:tcW w:w="0" w:type="dxa"/>
            <w:vAlign w:val="bottom"/>
          </w:tcPr>
          <w:p>
            <w:pPr>
              <w:spacing w:after="0"/>
              <w:rPr>
                <w:sz w:val="1"/>
                <w:szCs w:val="1"/>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3.30%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650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1,200</w:t>
            </w:r>
          </w:p>
        </w:tc>
        <w:tc>
          <w:tcPr>
            <w:tcW w:w="0" w:type="dxa"/>
            <w:vAlign w:val="bottom"/>
          </w:tcPr>
          <w:p>
            <w:pPr>
              <w:spacing w:after="0"/>
              <w:rPr>
                <w:sz w:val="1"/>
                <w:szCs w:val="1"/>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2025</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3.95%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850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43"/>
        </w:trPr>
        <w:tc>
          <w:tcPr>
            <w:tcW w:w="6520" w:type="dxa"/>
            <w:vAlign w:val="bottom"/>
            <w:gridSpan w:val="3"/>
          </w:tcPr>
          <w:p>
            <w:pPr>
              <w:ind w:left="40"/>
              <w:spacing w:after="0"/>
              <w:rPr>
                <w:sz w:val="20"/>
                <w:szCs w:val="20"/>
                <w:color w:val="auto"/>
              </w:rPr>
            </w:pPr>
            <w:r>
              <w:rPr>
                <w:rFonts w:ascii="Arial" w:cs="Arial" w:eastAsia="Arial" w:hAnsi="Arial"/>
                <w:sz w:val="18"/>
                <w:szCs w:val="18"/>
                <w:color w:val="auto"/>
              </w:rPr>
              <w:t>Notes</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2048</w:t>
            </w:r>
          </w:p>
        </w:tc>
        <w:tc>
          <w:tcPr>
            <w:tcW w:w="100" w:type="dxa"/>
            <w:vAlign w:val="bottom"/>
          </w:tcPr>
          <w:p>
            <w:pPr>
              <w:spacing w:after="0"/>
              <w:rPr>
                <w:sz w:val="21"/>
                <w:szCs w:val="21"/>
                <w:color w:val="auto"/>
              </w:rPr>
            </w:pPr>
          </w:p>
        </w:tc>
        <w:tc>
          <w:tcPr>
            <w:tcW w:w="1880" w:type="dxa"/>
            <w:vAlign w:val="bottom"/>
          </w:tcPr>
          <w:p>
            <w:pPr>
              <w:jc w:val="center"/>
              <w:spacing w:after="0"/>
              <w:rPr>
                <w:sz w:val="20"/>
                <w:szCs w:val="20"/>
                <w:color w:val="auto"/>
              </w:rPr>
            </w:pPr>
            <w:r>
              <w:rPr>
                <w:rFonts w:ascii="Arial" w:cs="Arial" w:eastAsia="Arial" w:hAnsi="Arial"/>
                <w:sz w:val="18"/>
                <w:szCs w:val="18"/>
                <w:color w:val="auto"/>
                <w:w w:val="93"/>
              </w:rPr>
              <w:t>4.80%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700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5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Other</w:t>
            </w:r>
            <w:r>
              <w:rPr>
                <w:rFonts w:ascii="Arial" w:cs="Arial" w:eastAsia="Arial" w:hAnsi="Arial"/>
                <w:sz w:val="25"/>
                <w:szCs w:val="25"/>
                <w:color w:val="auto"/>
                <w:vertAlign w:val="superscript"/>
              </w:rPr>
              <w:t>(1)</w:t>
            </w: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480" w:type="dxa"/>
            <w:vAlign w:val="bottom"/>
            <w:gridSpan w:val="2"/>
          </w:tcPr>
          <w:p>
            <w:pPr>
              <w:ind w:left="240"/>
              <w:spacing w:after="0"/>
              <w:rPr>
                <w:sz w:val="20"/>
                <w:szCs w:val="20"/>
                <w:color w:val="auto"/>
              </w:rPr>
            </w:pPr>
            <w:r>
              <w:rPr>
                <w:rFonts w:ascii="Arial" w:cs="Arial" w:eastAsia="Arial" w:hAnsi="Arial"/>
                <w:sz w:val="18"/>
                <w:szCs w:val="18"/>
                <w:color w:val="auto"/>
              </w:rPr>
              <w:t>Total</w:t>
            </w: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6,151</w:t>
            </w:r>
          </w:p>
        </w:tc>
        <w:tc>
          <w:tcPr>
            <w:tcW w:w="0" w:type="dxa"/>
            <w:vAlign w:val="bottom"/>
          </w:tcPr>
          <w:p>
            <w:pPr>
              <w:spacing w:after="0"/>
              <w:rPr>
                <w:sz w:val="1"/>
                <w:szCs w:val="1"/>
                <w:color w:val="auto"/>
              </w:rPr>
            </w:pPr>
          </w:p>
        </w:tc>
      </w:tr>
      <w:tr>
        <w:trPr>
          <w:trHeight w:val="27"/>
        </w:trPr>
        <w:tc>
          <w:tcPr>
            <w:tcW w:w="652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520" w:type="dxa"/>
            <w:vAlign w:val="bottom"/>
            <w:gridSpan w:val="3"/>
            <w:vMerge w:val="continu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20" w:type="dxa"/>
            <w:vAlign w:val="bottom"/>
            <w:gridSpan w:val="3"/>
            <w:vMerge w:val="continue"/>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21"/>
        </w:numPr>
        <w:rPr>
          <w:rFonts w:ascii="Arial" w:cs="Arial" w:eastAsia="Arial" w:hAnsi="Arial"/>
          <w:sz w:val="25"/>
          <w:szCs w:val="25"/>
          <w:color w:val="auto"/>
          <w:vertAlign w:val="superscript"/>
        </w:rPr>
      </w:pPr>
      <w:r>
        <w:rPr>
          <w:rFonts w:ascii="Arial" w:cs="Arial" w:eastAsia="Arial" w:hAnsi="Arial"/>
          <w:sz w:val="18"/>
          <w:szCs w:val="18"/>
          <w:color w:val="auto"/>
        </w:rPr>
        <w:t>Includes unamortized discount on debt issuances and debt issuance costs.</w:t>
      </w:r>
    </w:p>
    <w:p>
      <w:pPr>
        <w:spacing w:after="0" w:line="14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interest rate on the $900 senior unsecured term loan facility resets in one, two, three, or six-month periods dependent upon our election. Interest on the senior unsecured term loan facility is due upon the earlier of an interest reset or quarterly and the first interest payment is due in June 2018. The senior unsecured term loan facility may be prepaid at par at any time. The senior unsecured term loan facility contains customary covenants and events of default for credit facilities of this type. Interest on the 2-year floating rate senior notes is due quarterly on March 16, June 16, September 16, and December 16, commencing on June 16, 2018. Interest on the 3-year floating rate senior notes is due quarterly on March 15, June 15, September 15, and December 15, commencing on June 15, 2018. Interest on the fixed rate senior notes is due semi-annually on March 15 and September 15, commencing on September 15, 2018. The fixed rate senior notes may be redeemed, in whole or in part, at our option at any time at the applicable redemption price. If change of control triggering events occur, we will be required to offer to purchase the senior notes at a purchase price equal to 101% of the principal amount plus accrued and unpaid interest, if any, to the purchase date.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April 29, 2018, or July 30, 2017.</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$90 at April 29, 2018, and $84 at July 30,</w:t>
      </w:r>
    </w:p>
    <w:p>
      <w:pPr>
        <w:sectPr>
          <w:pgSz w:w="11900" w:h="16838" w:orient="portrait"/>
          <w:cols w:equalWidth="0" w:num="1">
            <w:col w:w="11420"/>
          </w:cols>
          <w:pgMar w:left="240" w:top="1310"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0" w:right="239" w:bottom="1440" w:gutter="0" w:footer="0" w:header="0"/>
          <w:type w:val="continuous"/>
        </w:sectPr>
      </w:pPr>
    </w:p>
    <w:bookmarkStart w:id="19" w:name="page20"/>
    <w:bookmarkEnd w:id="19"/>
    <w:p>
      <w:pPr>
        <w:jc w:val="both"/>
        <w:spacing w:after="0" w:line="279" w:lineRule="auto"/>
        <w:rPr>
          <w:sz w:val="20"/>
          <w:szCs w:val="20"/>
          <w:color w:val="auto"/>
        </w:rPr>
      </w:pPr>
      <w:r>
        <w:rPr>
          <w:rFonts w:ascii="Arial" w:cs="Arial" w:eastAsia="Arial" w:hAnsi="Arial"/>
          <w:sz w:val="17"/>
          <w:szCs w:val="17"/>
          <w:color w:val="auto"/>
        </w:rPr>
        <w:t>2017.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$163 and $336 at April 29, 2018, and July 30, 2017, respectively. There were no cross-currency swap contracts outstanding as of April 29, 2018, or July 30,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designated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 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At July 30, 2017, we had forward starting interest rate swaps accounted for as cash flow hedges with a notional value of $300, which related to the debt issuance in 2018. There were no forward starting interest rate swaps outstanding as of April 29, 2018. We settled forward starting interest rate swaps with a notional value of $300 in October 2017 at a loss of $22. We settled forward starting interest rate swaps with a notional value of $300 in March 2018 at a gain of $15. The $7 net loss on these instruments was recorded in other comprehensive income (loss) and will be recognized as additional interest expense over the 10-year life of the debt issued in March 2018. We settled undesignated treasury rate lock contracts with a notional value of $2,400 in March 2018 at a gain of $18, which was recognized in Interest expense in our Consolidated Statements of Earnings. These instruments, which were undesignated, hedged the planned financing of the acquisition of Snyder's-Lance.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aluminum, natural gas, cocoa, soybean meal, corn,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April 29, 2018, or July 30, 2017. The notional amount of commodity contracts not designated as accounting hedges was $95 at April 29, 2018, and $90 at July 30, 2017.</w:t>
      </w:r>
    </w:p>
    <w:p>
      <w:pPr>
        <w:spacing w:after="0" w:line="111"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$53 at April 29, 2018, and $35 at July 30, 2017. The fair value was not material as of April 29, 2018, and July 30, 2017. Unrealized gains (losses) and settlements are included in Cost of products sold in our Consolidated Statements of Earnings.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as of April 29, 2018, and July 30, 2017, were $41 and $43,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14" w:right="239" w:bottom="1440" w:gutter="0" w:footer="0" w:header="0"/>
        </w:sectPr>
      </w:pPr>
    </w:p>
    <w:bookmarkStart w:id="20" w:name="page21"/>
    <w:bookmarkEnd w:id="20"/>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April 29, 2018, and July 30, 2017:</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80" w:type="dxa"/>
            <w:vAlign w:val="bottom"/>
          </w:tcPr>
          <w:p>
            <w:pPr>
              <w:jc w:val="center"/>
              <w:ind w:left="315"/>
              <w:spacing w:after="0"/>
              <w:rPr>
                <w:sz w:val="20"/>
                <w:szCs w:val="20"/>
                <w:color w:val="auto"/>
              </w:rPr>
            </w:pPr>
            <w:r>
              <w:rPr>
                <w:rFonts w:ascii="Arial" w:cs="Arial" w:eastAsia="Arial" w:hAnsi="Arial"/>
                <w:sz w:val="14"/>
                <w:szCs w:val="14"/>
                <w:b w:val="1"/>
                <w:bCs w:val="1"/>
                <w:color w:val="auto"/>
                <w:w w:val="97"/>
              </w:rPr>
              <w:t>April 29,</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3"/>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80" w:type="dxa"/>
            <w:vAlign w:val="bottom"/>
          </w:tcPr>
          <w:p>
            <w:pPr>
              <w:jc w:val="center"/>
              <w:ind w:left="335"/>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80" w:type="dxa"/>
            <w:vAlign w:val="bottom"/>
          </w:tcPr>
          <w:p>
            <w:pPr>
              <w:jc w:val="center"/>
              <w:ind w:left="315"/>
              <w:spacing w:after="0"/>
              <w:rPr>
                <w:sz w:val="20"/>
                <w:szCs w:val="20"/>
                <w:color w:val="auto"/>
              </w:rPr>
            </w:pPr>
            <w:r>
              <w:rPr>
                <w:rFonts w:ascii="Arial" w:cs="Arial" w:eastAsia="Arial" w:hAnsi="Arial"/>
                <w:sz w:val="14"/>
                <w:szCs w:val="14"/>
                <w:b w:val="1"/>
                <w:bCs w:val="1"/>
                <w:color w:val="auto"/>
                <w:w w:val="97"/>
              </w:rPr>
              <w:t>April 29,</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3"/>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80" w:type="dxa"/>
            <w:vAlign w:val="bottom"/>
          </w:tcPr>
          <w:p>
            <w:pPr>
              <w:jc w:val="center"/>
              <w:ind w:left="335"/>
              <w:spacing w:after="0"/>
              <w:rPr>
                <w:sz w:val="20"/>
                <w:szCs w:val="20"/>
                <w:color w:val="auto"/>
              </w:rPr>
            </w:pPr>
            <w:r>
              <w:rPr>
                <w:rFonts w:ascii="Arial" w:cs="Arial" w:eastAsia="Arial" w:hAnsi="Arial"/>
                <w:sz w:val="14"/>
                <w:szCs w:val="14"/>
                <w:b w:val="1"/>
                <w:bCs w:val="1"/>
                <w:color w:val="auto"/>
                <w:w w:val="89"/>
              </w:rPr>
              <w:t>2018</w:t>
            </w: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3"/>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5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1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Pr>
          <w:p>
            <w:pPr>
              <w:spacing w:after="0"/>
              <w:rPr>
                <w:sz w:val="21"/>
                <w:szCs w:val="21"/>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180" w:type="dxa"/>
            <w:vAlign w:val="bottom"/>
          </w:tcPr>
          <w:p>
            <w:pPr>
              <w:spacing w:after="0"/>
              <w:rPr>
                <w:sz w:val="21"/>
                <w:szCs w:val="21"/>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975"/>
              <w:spacing w:after="0"/>
              <w:rPr>
                <w:sz w:val="20"/>
                <w:szCs w:val="20"/>
                <w:color w:val="auto"/>
              </w:rPr>
            </w:pPr>
            <w:r>
              <w:rPr>
                <w:rFonts w:ascii="Arial" w:cs="Arial" w:eastAsia="Arial" w:hAnsi="Arial"/>
                <w:sz w:val="18"/>
                <w:szCs w:val="18"/>
                <w:b w:val="1"/>
                <w:bCs w:val="1"/>
                <w:color w:val="auto"/>
                <w:w w:val="99"/>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April 29, 2018, and July 30, 2017,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April 29, 2018</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30, 2017</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are required to maintain cash margin accounts in connection with the funding of open positions for exchange-traded commodity derivative instruments. At July 30, 2017, a cash margin account balance of $1 was included in Other current assets in the Consolidated Balance Sheets.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14" w:right="239" w:bottom="1440" w:gutter="0" w:footer="0" w:header="0"/>
        </w:sectPr>
      </w:pPr>
    </w:p>
    <w:bookmarkStart w:id="21" w:name="page22"/>
    <w:bookmarkEnd w:id="21"/>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nine-month periods ended April 29, 2018, and April 30, 2017, in other comprehensive income (loss) (OCI) and the Consolidated Statements of Earnings: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60" w:type="dxa"/>
            <w:vAlign w:val="bottom"/>
            <w:gridSpan w:val="4"/>
          </w:tcPr>
          <w:p>
            <w:pPr>
              <w:jc w:val="right"/>
              <w:ind w:right="371"/>
              <w:spacing w:after="0"/>
              <w:rPr>
                <w:sz w:val="20"/>
                <w:szCs w:val="20"/>
                <w:color w:val="auto"/>
              </w:rPr>
            </w:pPr>
            <w:r>
              <w:rPr>
                <w:rFonts w:ascii="Arial" w:cs="Arial" w:eastAsia="Arial" w:hAnsi="Arial"/>
                <w:sz w:val="14"/>
                <w:szCs w:val="14"/>
                <w:b w:val="1"/>
                <w:bCs w:val="1"/>
                <w:color w:val="auto"/>
              </w:rPr>
              <w:t>Total Cash-Flow Hedge</w:t>
            </w:r>
          </w:p>
        </w:tc>
      </w:tr>
      <w:tr>
        <w:trPr>
          <w:trHeight w:val="192"/>
        </w:trPr>
        <w:tc>
          <w:tcPr>
            <w:tcW w:w="4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691"/>
              <w:spacing w:after="0"/>
              <w:rPr>
                <w:sz w:val="20"/>
                <w:szCs w:val="20"/>
                <w:color w:val="auto"/>
              </w:rPr>
            </w:pPr>
            <w:r>
              <w:rPr>
                <w:rFonts w:ascii="Arial" w:cs="Arial" w:eastAsia="Arial" w:hAnsi="Arial"/>
                <w:sz w:val="14"/>
                <w:szCs w:val="14"/>
                <w:b w:val="1"/>
                <w:bCs w:val="1"/>
                <w:color w:val="auto"/>
              </w:rPr>
              <w:t>OCI Activity</w:t>
            </w:r>
          </w:p>
        </w:tc>
      </w:tr>
      <w:tr>
        <w:trPr>
          <w:trHeight w:val="264"/>
        </w:trPr>
        <w:tc>
          <w:tcPr>
            <w:tcW w:w="6400" w:type="dxa"/>
            <w:vAlign w:val="bottom"/>
            <w:gridSpan w:val="4"/>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29, 2018</w:t>
            </w:r>
          </w:p>
        </w:tc>
        <w:tc>
          <w:tcPr>
            <w:tcW w:w="14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b w:val="1"/>
                <w:bCs w:val="1"/>
                <w:color w:val="auto"/>
                <w:w w:val="92"/>
              </w:rPr>
              <w:t>April 30, 2017</w:t>
            </w:r>
          </w:p>
        </w:tc>
      </w:tr>
      <w:tr>
        <w:trPr>
          <w:trHeight w:val="202"/>
        </w:trPr>
        <w:tc>
          <w:tcPr>
            <w:tcW w:w="6400" w:type="dxa"/>
            <w:vAlign w:val="bottom"/>
            <w:tcBorders>
              <w:top w:val="single" w:sz="8" w:color="auto"/>
            </w:tcBorders>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Three Months Ended</w:t>
            </w:r>
          </w:p>
        </w:tc>
        <w:tc>
          <w:tcPr>
            <w:tcW w:w="40" w:type="dxa"/>
            <w:vAlign w:val="bottom"/>
            <w:tcBorders>
              <w:top w:val="single" w:sz="8" w:color="CCEEFF"/>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40" w:type="dxa"/>
            <w:vAlign w:val="bottom"/>
            <w:tcBorders>
              <w:top w:val="single" w:sz="8" w:color="auto"/>
            </w:tcBorders>
            <w:shd w:val="clear" w:color="auto" w:fill="CCEEFF"/>
          </w:tcPr>
          <w:p>
            <w:pPr>
              <w:spacing w:after="0"/>
              <w:rPr>
                <w:sz w:val="4"/>
                <w:szCs w:val="4"/>
                <w:color w:val="auto"/>
              </w:rPr>
            </w:pPr>
          </w:p>
        </w:tc>
        <w:tc>
          <w:tcPr>
            <w:tcW w:w="100" w:type="dxa"/>
            <w:vAlign w:val="bottom"/>
            <w:tcBorders>
              <w:top w:val="single" w:sz="8" w:color="auto"/>
            </w:tcBorders>
            <w:shd w:val="clear" w:color="auto" w:fill="CCEEFF"/>
          </w:tcPr>
          <w:p>
            <w:pPr>
              <w:spacing w:after="0"/>
              <w:rPr>
                <w:sz w:val="4"/>
                <w:szCs w:val="4"/>
                <w:color w:val="auto"/>
              </w:rPr>
            </w:pPr>
          </w:p>
        </w:tc>
        <w:tc>
          <w:tcPr>
            <w:tcW w:w="47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000" w:type="dxa"/>
            <w:vAlign w:val="bottom"/>
            <w:tcBorders>
              <w:top w:val="single" w:sz="8" w:color="CCEEFF"/>
            </w:tcBorders>
            <w:shd w:val="clear" w:color="auto" w:fill="CCEEFF"/>
          </w:tcPr>
          <w:p>
            <w:pPr>
              <w:spacing w:after="0"/>
              <w:rPr>
                <w:sz w:val="4"/>
                <w:szCs w:val="4"/>
                <w:color w:val="auto"/>
              </w:rPr>
            </w:pP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276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7</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3"/>
        </w:trPr>
        <w:tc>
          <w:tcPr>
            <w:tcW w:w="64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Pr>
          <w:p>
            <w:pPr>
              <w:spacing w:after="0"/>
              <w:rPr>
                <w:sz w:val="17"/>
                <w:szCs w:val="17"/>
                <w:color w:val="auto"/>
              </w:rPr>
            </w:pPr>
          </w:p>
        </w:tc>
        <w:tc>
          <w:tcPr>
            <w:tcW w:w="2720" w:type="dxa"/>
            <w:vAlign w:val="bottom"/>
            <w:gridSpan w:val="3"/>
          </w:tcPr>
          <w:p>
            <w:pPr>
              <w:spacing w:after="0" w:line="202" w:lineRule="exact"/>
              <w:rPr>
                <w:sz w:val="20"/>
                <w:szCs w:val="20"/>
                <w:color w:val="auto"/>
              </w:rPr>
            </w:pPr>
            <w:r>
              <w:rPr>
                <w:rFonts w:ascii="Arial" w:cs="Arial" w:eastAsia="Arial" w:hAnsi="Arial"/>
                <w:sz w:val="18"/>
                <w:szCs w:val="18"/>
                <w:b w:val="1"/>
                <w:bCs w:val="1"/>
                <w:color w:val="auto"/>
              </w:rPr>
              <w:t>Location in Earnings</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Cost of products sold</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Other expenses / (income)</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37"/>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40" w:type="dxa"/>
            <w:vAlign w:val="bottom"/>
            <w:gridSpan w:val="3"/>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67"/>
        </w:trPr>
        <w:tc>
          <w:tcPr>
            <w:tcW w:w="40" w:type="dxa"/>
            <w:vAlign w:val="bottom"/>
            <w:tcBorders>
              <w:bottom w:val="single" w:sz="8" w:color="CCEEFF"/>
            </w:tcBorders>
          </w:tcPr>
          <w:p>
            <w:pPr>
              <w:spacing w:after="0"/>
              <w:rPr>
                <w:sz w:val="5"/>
                <w:szCs w:val="5"/>
                <w:color w:val="auto"/>
              </w:rPr>
            </w:pPr>
          </w:p>
        </w:tc>
        <w:tc>
          <w:tcPr>
            <w:tcW w:w="154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720" w:type="dxa"/>
            <w:vAlign w:val="bottom"/>
            <w:tcBorders>
              <w:bottom w:val="single" w:sz="8" w:color="CCEEFF"/>
            </w:tcBorders>
          </w:tcPr>
          <w:p>
            <w:pPr>
              <w:spacing w:after="0"/>
              <w:rPr>
                <w:sz w:val="5"/>
                <w:szCs w:val="5"/>
                <w:color w:val="auto"/>
              </w:rPr>
            </w:pPr>
          </w:p>
        </w:tc>
        <w:tc>
          <w:tcPr>
            <w:tcW w:w="4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r>
      <w:tr>
        <w:trPr>
          <w:trHeight w:val="305"/>
        </w:trPr>
        <w:tc>
          <w:tcPr>
            <w:tcW w:w="40" w:type="dxa"/>
            <w:vAlign w:val="bottom"/>
            <w:shd w:val="clear" w:color="auto" w:fill="CCEEFF"/>
          </w:tcPr>
          <w:p>
            <w:pPr>
              <w:spacing w:after="0"/>
              <w:rPr>
                <w:sz w:val="24"/>
                <w:szCs w:val="24"/>
                <w:color w:val="auto"/>
              </w:rPr>
            </w:pPr>
          </w:p>
        </w:tc>
        <w:tc>
          <w:tcPr>
            <w:tcW w:w="15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7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r>
      <w:tr>
        <w:trPr>
          <w:trHeight w:val="203"/>
        </w:trPr>
        <w:tc>
          <w:tcPr>
            <w:tcW w:w="6400" w:type="dxa"/>
            <w:vAlign w:val="bottom"/>
            <w:gridSpan w:val="4"/>
          </w:tcPr>
          <w:p>
            <w:pPr>
              <w:ind w:left="40"/>
              <w:spacing w:after="0" w:line="202" w:lineRule="exact"/>
              <w:rPr>
                <w:sz w:val="20"/>
                <w:szCs w:val="20"/>
                <w:color w:val="auto"/>
              </w:rPr>
            </w:pPr>
            <w:r>
              <w:rPr>
                <w:rFonts w:ascii="Arial" w:cs="Arial" w:eastAsia="Arial" w:hAnsi="Arial"/>
                <w:sz w:val="18"/>
                <w:szCs w:val="18"/>
                <w:b w:val="1"/>
                <w:bCs w:val="1"/>
                <w:color w:val="auto"/>
              </w:rPr>
              <w:t>Nine Months Ended</w:t>
            </w:r>
          </w:p>
        </w:tc>
        <w:tc>
          <w:tcPr>
            <w:tcW w:w="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5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720" w:type="dxa"/>
            <w:vAlign w:val="bottom"/>
          </w:tcPr>
          <w:p>
            <w:pPr>
              <w:spacing w:after="0"/>
              <w:rPr>
                <w:sz w:val="4"/>
                <w:szCs w:val="4"/>
                <w:color w:val="auto"/>
              </w:rPr>
            </w:pPr>
          </w:p>
        </w:tc>
        <w:tc>
          <w:tcPr>
            <w:tcW w:w="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43"/>
        </w:trPr>
        <w:tc>
          <w:tcPr>
            <w:tcW w:w="6400" w:type="dxa"/>
            <w:vAlign w:val="bottom"/>
            <w:gridSpan w:val="4"/>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24</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400" w:type="dxa"/>
            <w:vAlign w:val="bottom"/>
            <w:tcBorders>
              <w:bottom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4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100" w:type="dxa"/>
            <w:vAlign w:val="bottom"/>
            <w:tcBorders>
              <w:bottom w:val="single" w:sz="8" w:color="CCEEFF"/>
            </w:tcBorders>
            <w:gridSpan w:val="2"/>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3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40" w:type="dxa"/>
            <w:vAlign w:val="bottom"/>
            <w:tcBorders>
              <w:bottom w:val="single" w:sz="8" w:color="CCEEFF"/>
            </w:tcBorders>
            <w:shd w:val="clear" w:color="auto" w:fill="CCEEFF"/>
          </w:tcPr>
          <w:p>
            <w:pPr>
              <w:spacing w:after="0"/>
              <w:rPr>
                <w:sz w:val="21"/>
                <w:szCs w:val="21"/>
                <w:color w:val="auto"/>
              </w:rPr>
            </w:pPr>
          </w:p>
        </w:tc>
        <w:tc>
          <w:tcPr>
            <w:tcW w:w="27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w:t>
            </w:r>
          </w:p>
        </w:tc>
      </w:tr>
      <w:tr>
        <w:trPr>
          <w:trHeight w:val="243"/>
        </w:trPr>
        <w:tc>
          <w:tcPr>
            <w:tcW w:w="40" w:type="dxa"/>
            <w:vAlign w:val="bottom"/>
          </w:tcPr>
          <w:p>
            <w:pPr>
              <w:spacing w:after="0"/>
              <w:rPr>
                <w:sz w:val="21"/>
                <w:szCs w:val="21"/>
                <w:color w:val="auto"/>
              </w:rPr>
            </w:pPr>
          </w:p>
        </w:tc>
        <w:tc>
          <w:tcPr>
            <w:tcW w:w="63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40" w:type="dxa"/>
            <w:vAlign w:val="bottom"/>
          </w:tcPr>
          <w:p>
            <w:pPr>
              <w:spacing w:after="0"/>
              <w:rPr>
                <w:sz w:val="21"/>
                <w:szCs w:val="21"/>
                <w:color w:val="auto"/>
              </w:rPr>
            </w:pPr>
          </w:p>
        </w:tc>
        <w:tc>
          <w:tcPr>
            <w:tcW w:w="27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020" w:type="dxa"/>
            <w:vAlign w:val="bottom"/>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w:t>
            </w:r>
          </w:p>
        </w:tc>
      </w:tr>
      <w:tr>
        <w:trPr>
          <w:trHeight w:val="27"/>
        </w:trPr>
        <w:tc>
          <w:tcPr>
            <w:tcW w:w="40" w:type="dxa"/>
            <w:vAlign w:val="bottom"/>
            <w:tcBorders>
              <w:bottom w:val="single" w:sz="8" w:color="CCEEFF"/>
            </w:tcBorders>
          </w:tcPr>
          <w:p>
            <w:pPr>
              <w:spacing w:after="0"/>
              <w:rPr>
                <w:sz w:val="2"/>
                <w:szCs w:val="2"/>
                <w:color w:val="auto"/>
              </w:rPr>
            </w:pPr>
          </w:p>
        </w:tc>
        <w:tc>
          <w:tcPr>
            <w:tcW w:w="1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7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64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7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not material.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940" w:type="dxa"/>
            <w:vAlign w:val="bottom"/>
            <w:tcBorders>
              <w:bottom w:val="single" w:sz="8" w:color="auto"/>
            </w:tcBorders>
            <w:gridSpan w:val="9"/>
          </w:tcPr>
          <w:p>
            <w:pPr>
              <w:jc w:val="right"/>
              <w:spacing w:after="0"/>
              <w:rPr>
                <w:sz w:val="20"/>
                <w:szCs w:val="20"/>
                <w:color w:val="auto"/>
              </w:rPr>
            </w:pPr>
            <w:r>
              <w:rPr>
                <w:rFonts w:ascii="Arial" w:cs="Arial" w:eastAsia="Arial" w:hAnsi="Arial"/>
                <w:sz w:val="14"/>
                <w:szCs w:val="14"/>
                <w:b w:val="1"/>
                <w:bCs w:val="1"/>
                <w:color w:val="auto"/>
                <w:w w:val="94"/>
              </w:rPr>
              <w:t>Amount of (Gain) Loss Recognized in Earnings on Derivatives</w:t>
            </w:r>
          </w:p>
        </w:tc>
        <w:tc>
          <w:tcPr>
            <w:tcW w:w="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Location of (Gain) Loss</w:t>
            </w:r>
          </w:p>
        </w:tc>
        <w:tc>
          <w:tcPr>
            <w:tcW w:w="20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gridSpan w:val="3"/>
          </w:tcPr>
          <w:p>
            <w:pPr>
              <w:jc w:val="right"/>
              <w:ind w:right="96"/>
              <w:spacing w:after="0"/>
              <w:rPr>
                <w:sz w:val="20"/>
                <w:szCs w:val="20"/>
                <w:color w:val="auto"/>
              </w:rPr>
            </w:pPr>
            <w:r>
              <w:rPr>
                <w:rFonts w:ascii="Arial" w:cs="Arial" w:eastAsia="Arial" w:hAnsi="Arial"/>
                <w:sz w:val="14"/>
                <w:szCs w:val="14"/>
                <w:b w:val="1"/>
                <w:bCs w:val="1"/>
                <w:color w:val="auto"/>
              </w:rPr>
              <w:t>Nine Months Ended</w:t>
            </w:r>
          </w:p>
        </w:tc>
        <w:tc>
          <w:tcPr>
            <w:tcW w:w="2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7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29, 2018</w:t>
            </w:r>
          </w:p>
        </w:tc>
        <w:tc>
          <w:tcPr>
            <w:tcW w:w="100" w:type="dxa"/>
            <w:vAlign w:val="bottom"/>
            <w:vMerge w:val="restart"/>
          </w:tcPr>
          <w:p>
            <w:pPr>
              <w:spacing w:after="0"/>
              <w:rPr>
                <w:sz w:val="6"/>
                <w:szCs w:val="6"/>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2017</w:t>
            </w:r>
          </w:p>
        </w:tc>
        <w:tc>
          <w:tcPr>
            <w:tcW w:w="100" w:type="dxa"/>
            <w:vAlign w:val="bottom"/>
            <w:vMerge w:val="restart"/>
          </w:tcPr>
          <w:p>
            <w:pPr>
              <w:spacing w:after="0"/>
              <w:rPr>
                <w:sz w:val="6"/>
                <w:szCs w:val="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vMerge w:val="restart"/>
          </w:tcPr>
          <w:p>
            <w:pPr>
              <w:spacing w:after="0"/>
              <w:rPr>
                <w:sz w:val="6"/>
                <w:szCs w:val="6"/>
                <w:color w:val="auto"/>
              </w:rPr>
            </w:pP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April 30, 2017</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20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Commodity derivative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Treasury rate lock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6"/>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6"/>
              <w:spacing w:after="0"/>
              <w:rPr>
                <w:sz w:val="20"/>
                <w:szCs w:val="20"/>
                <w:color w:val="auto"/>
              </w:rPr>
            </w:pPr>
            <w:r>
              <w:rPr>
                <w:rFonts w:ascii="Arial" w:cs="Arial" w:eastAsia="Arial" w:hAnsi="Arial"/>
                <w:sz w:val="18"/>
                <w:szCs w:val="18"/>
                <w:b w:val="1"/>
                <w:bCs w:val="1"/>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(23)</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Variable Interest Entity</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440" w:gutter="0" w:footer="0" w:header="0"/>
          <w:type w:val="continuous"/>
        </w:sectPr>
      </w:pPr>
    </w:p>
    <w:bookmarkStart w:id="22" w:name="page23"/>
    <w:bookmarkEnd w:id="22"/>
    <w:p>
      <w:pPr>
        <w:jc w:val="both"/>
        <w:spacing w:after="0" w:line="277" w:lineRule="auto"/>
        <w:rPr>
          <w:sz w:val="20"/>
          <w:szCs w:val="20"/>
          <w:color w:val="auto"/>
        </w:rPr>
      </w:pPr>
      <w:r>
        <w:rPr>
          <w:rFonts w:ascii="Arial" w:cs="Arial" w:eastAsia="Arial" w:hAnsi="Arial"/>
          <w:sz w:val="18"/>
          <w:szCs w:val="18"/>
          <w:color w:val="auto"/>
        </w:rPr>
        <w:t>VIE. We have determined that we are the primary beneficiary. Therefore, we consolidate Acre and account for the third party ownership as a noncontrolling interest. Through April 29, 2018, we funded $74 of the capital commitment.</w:t>
      </w:r>
    </w:p>
    <w:p>
      <w:pPr>
        <w:spacing w:after="0" w:line="11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$69 and $51 as of April 29, 2018, and July 30, 2017,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April 29, 2018, or July 30, 2017.</w:t>
      </w:r>
    </w:p>
    <w:p>
      <w:pPr>
        <w:spacing w:after="0" w:line="113"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April 29, 2018, and July 30, 2017,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April 29, 2018 Using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April 29,</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69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69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86</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69</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6</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April 29, 2018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30, 2017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April 29,</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30,</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(6)</w:t>
            </w:r>
          </w:p>
        </w:tc>
        <w:tc>
          <w:tcPr>
            <w:tcW w:w="18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105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105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(4)</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110</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107</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113</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23"/>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2" w:lineRule="exact"/>
        <w:rPr>
          <w:rFonts w:ascii="Arial" w:cs="Arial" w:eastAsia="Arial" w:hAnsi="Arial"/>
          <w:sz w:val="24"/>
          <w:szCs w:val="24"/>
          <w:color w:val="auto"/>
          <w:vertAlign w:val="superscript"/>
        </w:rPr>
      </w:pPr>
    </w:p>
    <w:p>
      <w:pPr>
        <w:ind w:left="340" w:right="80" w:hanging="332"/>
        <w:spacing w:after="0" w:line="257" w:lineRule="auto"/>
        <w:tabs>
          <w:tab w:leader="none" w:pos="34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Primarily represents investments in equity securities that are not readily marketable and are accounted for under the fair value option. The investments were funded by Acre. See Note 14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in 2018 or 2017.</w:t>
      </w:r>
    </w:p>
    <w:p>
      <w:pPr>
        <w:ind w:left="340" w:hanging="332"/>
        <w:spacing w:after="0" w:line="180" w:lineRule="auto"/>
        <w:tabs>
          <w:tab w:leader="none" w:pos="340"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third quarter of 2018, we performed an interim impairment assessment on the assets in the deli reporting unit and the Bolthouse Farms refrigerated beverages and salad dressings reporting unit. The following table presents the fair value measurements: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April 29, 2018</w:t>
            </w: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April 29, 2018</w:t>
            </w: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0"/>
        </w:trPr>
        <w:tc>
          <w:tcPr>
            <w:tcW w:w="4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6"/>
              </w:rPr>
              <w:t>Impairment Charges</w:t>
            </w: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Fair Value</w:t>
            </w: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r>
      <w:tr>
        <w:trPr>
          <w:trHeight w:val="264"/>
        </w:trPr>
        <w:tc>
          <w:tcPr>
            <w:tcW w:w="43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Reporting Unit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w w:val="92"/>
              </w:rPr>
              <w:t>Plant Assets</w:t>
            </w:r>
          </w:p>
        </w:tc>
        <w:tc>
          <w:tcPr>
            <w:tcW w:w="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Trademark</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Goodwill</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w w:val="90"/>
              </w:rPr>
              <w:t>Plant Assets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7"/>
              </w:rPr>
              <w:t>Trademark</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Goodwill</w:t>
            </w:r>
          </w:p>
        </w:tc>
      </w:tr>
      <w:tr>
        <w:trPr>
          <w:trHeight w:val="250"/>
        </w:trPr>
        <w:tc>
          <w:tcPr>
            <w:tcW w:w="44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Deli</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tcBorders>
              <w:bottom w:val="single" w:sz="8" w:color="CCEEFF"/>
            </w:tcBorders>
            <w:gridSpan w:val="3"/>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29"/>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Bolthouse Farms refrigerated beverages and salad</w:t>
            </w: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4480" w:type="dxa"/>
            <w:vAlign w:val="bottom"/>
            <w:gridSpan w:val="2"/>
          </w:tcPr>
          <w:p>
            <w:pPr>
              <w:ind w:left="40"/>
              <w:spacing w:after="0"/>
              <w:rPr>
                <w:sz w:val="20"/>
                <w:szCs w:val="20"/>
                <w:color w:val="auto"/>
              </w:rPr>
            </w:pPr>
            <w:r>
              <w:rPr>
                <w:rFonts w:ascii="Arial" w:cs="Arial" w:eastAsia="Arial" w:hAnsi="Arial"/>
                <w:sz w:val="18"/>
                <w:szCs w:val="18"/>
                <w:color w:val="auto"/>
              </w:rPr>
              <w:t>dressings</w:t>
            </w: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36"/>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goodwill impairment charges represent the remaining carrying value of goodwill related to the deli and Bolthouse Farms refrigerated beverages and salad dressings reporting units.</w:t>
      </w:r>
    </w:p>
    <w:p>
      <w:pPr>
        <w:spacing w:after="0" w:line="116"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During the second quarter of 2018, we performed an interim impairment assessment and recognized an impairment charge of $75 on goodwill of the Bolthouse Farms carrot and carrot ingredients reporting unit, which represented the remaining carrying value of goodwill in the reporting unit.</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was determined based on unobservable Level 3 inputs. The fair value of plant assets was determined based on cash flows associated with the asset group that include significant management assumptions, including expected proceeds. The fair value of trademarks was determined based on discounted cash flow analyses that include significant management assumptions</w:t>
      </w:r>
    </w:p>
    <w:p>
      <w:pPr>
        <w:sectPr>
          <w:pgSz w:w="11900" w:h="16838" w:orient="portrait"/>
          <w:cols w:equalWidth="0" w:num="1">
            <w:col w:w="11420"/>
          </w:cols>
          <w:pgMar w:left="240" w:top="137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74" w:right="239" w:bottom="1440" w:gutter="0" w:footer="0" w:header="0"/>
          <w:type w:val="continuous"/>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such as revenue growth rates, weighted average cost of capital and assumed royalty rates. The fair value of goodwill was determined based on discounted cash flow analysis that include significant management assumptions such as revenue growth rates, operating margins, weighted average cost of capital, and future economic and market conditions.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for additional information on the intangible asset impairment charges.</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$19 at April 29, 2018, and $8 at July 30, 2017,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$8,490 at April 29, 2018, and $2,582 at July 30, 2017. The carrying value was $8,593 at April 29, 2018, and $2,499 at July 30, 2017.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 Repurchases</w:t>
      </w:r>
    </w:p>
    <w:p>
      <w:pPr>
        <w:spacing w:after="0" w:line="17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w:t>
      </w:r>
    </w:p>
    <w:p>
      <w:pPr>
        <w:spacing w:after="0" w:line="93"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nine-month period ended April 29, 2018, we repurchased 2 million shares at a cost of $86. Of this amount, $75 was used to repurchase shares pursuant to our March 2017 publicly announced share repurchase program. Approximately $1,296 remained available under the March 2017 program as of April 29, 2018. During the nine-month period ended April 30, 2017, we repurchased 5 million shares at a cost of $305.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2018, we issued stock options, time-lapse restricted stock units, unrestricted stock, EPS performance restricted stock units and TSR performance restricted stock units. We have not issued strategic performance restricted stock units or special performance restricted stock units in 2018.</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the Consolidated Statements of Earnings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120" w:type="dxa"/>
            <w:vAlign w:val="bottom"/>
            <w:tcBorders>
              <w:bottom w:val="single" w:sz="8" w:color="auto"/>
            </w:tcBorders>
            <w:gridSpan w:val="4"/>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4"/>
          </w:tcPr>
          <w:p>
            <w:pPr>
              <w:jc w:val="right"/>
              <w:ind w:right="179"/>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Borders>
              <w:bottom w:val="single" w:sz="8" w:color="auto"/>
            </w:tcBorders>
          </w:tcPr>
          <w:p>
            <w:pPr>
              <w:spacing w:after="0"/>
              <w:rPr>
                <w:sz w:val="16"/>
                <w:szCs w:val="16"/>
                <w:color w:val="auto"/>
              </w:rPr>
            </w:pPr>
          </w:p>
        </w:tc>
      </w:tr>
      <w:tr>
        <w:trPr>
          <w:trHeight w:val="152"/>
        </w:trPr>
        <w:tc>
          <w:tcPr>
            <w:tcW w:w="6520" w:type="dxa"/>
            <w:vAlign w:val="bottom"/>
          </w:tcPr>
          <w:p>
            <w:pPr>
              <w:spacing w:after="0"/>
              <w:rPr>
                <w:sz w:val="13"/>
                <w:szCs w:val="13"/>
                <w:color w:val="auto"/>
              </w:rPr>
            </w:pPr>
          </w:p>
        </w:tc>
        <w:tc>
          <w:tcPr>
            <w:tcW w:w="8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29,</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29,</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300" w:type="dxa"/>
            <w:vAlign w:val="bottom"/>
          </w:tcPr>
          <w:p>
            <w:pPr>
              <w:spacing w:after="0"/>
              <w:rPr>
                <w:sz w:val="13"/>
                <w:szCs w:val="13"/>
                <w:color w:val="auto"/>
              </w:rPr>
            </w:pPr>
          </w:p>
        </w:tc>
      </w:tr>
      <w:tr>
        <w:trPr>
          <w:trHeight w:val="192"/>
        </w:trPr>
        <w:tc>
          <w:tcPr>
            <w:tcW w:w="65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860" w:type="dxa"/>
            <w:vAlign w:val="bottom"/>
            <w:tcBorders>
              <w:bottom w:val="single" w:sz="8" w:color="CCEEFF"/>
            </w:tcBorders>
            <w:shd w:val="clear" w:color="auto" w:fill="CCEEFF"/>
          </w:tcPr>
          <w:p>
            <w:pPr>
              <w:jc w:val="right"/>
              <w:ind w:right="66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8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79"/>
              </w:rPr>
              <w:t>48</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48</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860" w:type="dxa"/>
            <w:vAlign w:val="bottom"/>
          </w:tcPr>
          <w:p>
            <w:pPr>
              <w:jc w:val="right"/>
              <w:ind w:right="661"/>
              <w:spacing w:after="0"/>
              <w:rPr>
                <w:sz w:val="20"/>
                <w:szCs w:val="20"/>
                <w:color w:val="auto"/>
              </w:rPr>
            </w:pPr>
            <w:r>
              <w:rPr>
                <w:rFonts w:ascii="Arial" w:cs="Arial" w:eastAsia="Arial" w:hAnsi="Arial"/>
                <w:sz w:val="18"/>
                <w:szCs w:val="18"/>
                <w:b w:val="1"/>
                <w:bCs w:val="1"/>
                <w:color w:val="auto"/>
                <w:w w:val="99"/>
              </w:rPr>
              <w:t>$</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840" w:type="dxa"/>
            <w:vAlign w:val="bottom"/>
          </w:tcPr>
          <w:p>
            <w:pPr>
              <w:jc w:val="right"/>
              <w:ind w:right="641"/>
              <w:spacing w:after="0"/>
              <w:rPr>
                <w:sz w:val="20"/>
                <w:szCs w:val="20"/>
                <w:color w:val="auto"/>
              </w:rPr>
            </w:pPr>
            <w:r>
              <w:rPr>
                <w:rFonts w:ascii="Arial" w:cs="Arial" w:eastAsia="Arial" w:hAnsi="Arial"/>
                <w:sz w:val="18"/>
                <w:szCs w:val="18"/>
                <w:b w:val="1"/>
                <w:bCs w:val="1"/>
                <w:color w:val="auto"/>
                <w:w w:val="99"/>
              </w:rPr>
              <w:t>$</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10</w:t>
            </w:r>
          </w:p>
        </w:tc>
        <w:tc>
          <w:tcPr>
            <w:tcW w:w="100" w:type="dxa"/>
            <w:vAlign w:val="bottom"/>
          </w:tcPr>
          <w:p>
            <w:pPr>
              <w:spacing w:after="0"/>
              <w:rPr>
                <w:sz w:val="21"/>
                <w:szCs w:val="21"/>
                <w:color w:val="auto"/>
              </w:rPr>
            </w:pPr>
          </w:p>
        </w:tc>
        <w:tc>
          <w:tcPr>
            <w:tcW w:w="840" w:type="dxa"/>
            <w:vAlign w:val="bottom"/>
          </w:tcPr>
          <w:p>
            <w:pPr>
              <w:jc w:val="right"/>
              <w:ind w:right="639"/>
              <w:spacing w:after="0"/>
              <w:rPr>
                <w:sz w:val="20"/>
                <w:szCs w:val="20"/>
                <w:color w:val="auto"/>
              </w:rPr>
            </w:pPr>
            <w:r>
              <w:rPr>
                <w:rFonts w:ascii="Arial" w:cs="Arial" w:eastAsia="Arial" w:hAnsi="Arial"/>
                <w:sz w:val="18"/>
                <w:szCs w:val="18"/>
                <w:color w:val="auto"/>
                <w:w w:val="99"/>
              </w:rPr>
              <w:t>$</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18</w:t>
            </w:r>
          </w:p>
        </w:tc>
      </w:tr>
    </w:tbl>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Cash received from the exercise of stock options was $2 for the nine-month period ended April 30, 2017, and is reflected in cash flows from financing activities in the Consolidated Statements of Cash Flows.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14" w:right="23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color w:val="auto"/>
        </w:rPr>
        <w:t>The following table summarizes stock option activity as of April 29,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30, 2017</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1,042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52.08</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47.19</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50.05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April 29,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50.36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April 29, 2018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519</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51.40</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the nine-month period ended April 30, 2017, was not material.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2018 and 2017 were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1.28%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19.60%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18.64%</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6 years</w:t>
            </w:r>
          </w:p>
        </w:tc>
        <w:tc>
          <w:tcPr>
            <w:tcW w:w="900" w:type="dxa"/>
            <w:vAlign w:val="bottom"/>
          </w:tcPr>
          <w:p>
            <w:pPr>
              <w:ind w:left="200"/>
              <w:spacing w:after="0"/>
              <w:rPr>
                <w:sz w:val="20"/>
                <w:szCs w:val="20"/>
                <w:color w:val="auto"/>
              </w:rPr>
            </w:pPr>
            <w:r>
              <w:rPr>
                <w:rFonts w:ascii="Arial" w:cs="Arial" w:eastAsia="Arial" w:hAnsi="Arial"/>
                <w:sz w:val="18"/>
                <w:szCs w:val="18"/>
                <w:color w:val="auto"/>
              </w:rPr>
              <w:t>6 years</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43"/>
        </w:trPr>
        <w:tc>
          <w:tcPr>
            <w:tcW w:w="94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3"/>
              </w:rPr>
              <w:t>$6.67</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$7.51</w:t>
            </w:r>
          </w:p>
        </w:tc>
      </w:tr>
      <w:tr>
        <w:trPr>
          <w:trHeight w:val="27"/>
        </w:trPr>
        <w:tc>
          <w:tcPr>
            <w:tcW w:w="94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April 29, 2018, total remaining unearned compensation related to nonvested stock options was $1, which will be amortized over the weighted-average remaining service period of 1.4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time-lapse restricted stock units and EPS performance restricted stock units as of April 29,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1,221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50.86</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931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46.03</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48.59</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49.44</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29, 2018</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48.81</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142 thousand EPS performance target grants outstanding at April 29, 2018, with a weighted-average grant-date fair value of $49.60. The actual number of EPS performance restricted stock units issued at the vesting date could range from 0% or 100% of the initial grant, depending on actual performance achieved. We estimate expense based on the number of awards expected to vest. In the first quarter of 2017, recipients of strategic performance restricted stock units earned 35% of the initial grants based on actual</w:t>
      </w:r>
    </w:p>
    <w:p>
      <w:pPr>
        <w:sectPr>
          <w:pgSz w:w="11900" w:h="16838" w:orient="portrait"/>
          <w:cols w:equalWidth="0" w:num="1">
            <w:col w:w="11420"/>
          </w:cols>
          <w:pgMar w:left="240" w:top="1314"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314" w:right="239" w:bottom="1440" w:gutter="0" w:footer="0" w:header="0"/>
          <w:type w:val="continuous"/>
        </w:sectPr>
      </w:pPr>
    </w:p>
    <w:bookmarkStart w:id="26" w:name="page27"/>
    <w:bookmarkEnd w:id="26"/>
    <w:p>
      <w:pPr>
        <w:jc w:val="both"/>
        <w:ind w:right="20"/>
        <w:spacing w:after="0" w:line="277" w:lineRule="auto"/>
        <w:rPr>
          <w:sz w:val="20"/>
          <w:szCs w:val="20"/>
          <w:color w:val="auto"/>
        </w:rPr>
      </w:pPr>
      <w:r>
        <w:rPr>
          <w:rFonts w:ascii="Arial" w:cs="Arial" w:eastAsia="Arial" w:hAnsi="Arial"/>
          <w:sz w:val="18"/>
          <w:szCs w:val="18"/>
          <w:color w:val="auto"/>
        </w:rPr>
        <w:t>performance achieved during a three-year period ended July 31, 2016. There were no strategic performance restricted stock units outstanding at April 29, 2018.</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was contingent upon meeting various financial goals and performance milestones to support innovation and growth initiatives. These awards vested in the first quarter of 2017. Recipients of special performance restricted stock units earned 0% of the initial grants based upon financial goals and 100% of the initial grants based upon performance milestones to support innovation and growth initiatives.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April 29, 2018, total remaining unearned compensation related to nonvested time-lapse restricted stock units and EPS performance restricted stock units was $35, which will be amortized over the weighted-average remaining service period of 1.9 years. The fair value of restricted stock units vested during the nine-month periods ended April 29, 2018, and April 30, 2017, was $30, and $53, respectively. The weighted-average grant-date fair value of the restricted stock units granted during the nine-month period ended April 30, 2017, was $54.78.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April 29,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30, 2017</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1,774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48.24</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43.39</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45.78</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April 29,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1,789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46.30</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1.58%</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0.85%</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2.95%</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2.26%</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19.07%</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17.78%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compensation expense on a straight-line basis over the service period. As of April 29, 2018, total remaining unearned compensation related to TSR performance restricted stock units was $32, which will be amortized over the weighted-average remaining service period of 1.9 years.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In the first quarter of 2017, recipients of TSR performance restricted stock units earned 75% of the initial grants based upon our TSR ranking in a performance peer group during a three-year period ended July 29, 2016. The fair value of TSR performance restricted stock units vested during the nine-month periods ended April 29, 2018, and April 30, 2017, was $38 and $14, respectively. The grant-date fair value of the TSR performance restricted stock units granted during 2017 was $39.53.</w:t>
      </w:r>
    </w:p>
    <w:p>
      <w:pPr>
        <w:spacing w:after="0" w:line="14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operating activities for the nine-month periods ended April 29, 2018, and April 30, 2017, were $4 and $6,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4" w:right="239" w:bottom="1440" w:gutter="0" w:footer="0" w:header="0"/>
          <w:type w:val="continuous"/>
        </w:sectPr>
      </w:pPr>
    </w:p>
    <w:bookmarkStart w:id="27" w:name="page28"/>
    <w:bookmarkEnd w:id="27"/>
    <w:p>
      <w:pPr>
        <w:jc w:val="both"/>
        <w:spacing w:after="0" w:line="264" w:lineRule="auto"/>
        <w:rPr>
          <w:sz w:val="20"/>
          <w:szCs w:val="20"/>
          <w:color w:val="auto"/>
        </w:rPr>
      </w:pPr>
      <w:r>
        <w:rPr>
          <w:rFonts w:ascii="Arial" w:cs="Arial" w:eastAsia="Arial" w:hAnsi="Arial"/>
          <w:sz w:val="18"/>
          <w:szCs w:val="18"/>
          <w:color w:val="auto"/>
        </w:rPr>
        <w:t>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April 29, 2018.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 In the third quarter of 2018, we recorded expense of $22 from a settlement of a claim.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Contingencies</w:t>
      </w:r>
    </w:p>
    <w:p>
      <w:pPr>
        <w:spacing w:after="0" w:line="9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guarantee approximately 2,000 bank loans made to Pepperidge Farm independent contractor distributors by third-party financial institutions for the purchase of distribution routes. The maximum potential amount of future payments under existing guarantees we could be required to make as of April 29, 2018 is $207. Our guarantees are indirectly secured by the distribution routes. We do not expect that we will be required to make material guarantee payments as a result of defaults on the bank loans guaranteed. The amounts recognized as of April 29, 2018, and July 30, 2017, were not material.</w:t>
      </w:r>
    </w:p>
    <w:p>
      <w:pPr>
        <w:spacing w:after="0" w:line="100"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With the acquisition of Snyder's-Lance, we guarantee approximately 2,300 bank loans made to independent business owners by third-party financial institutions for the purchase of distribution routes. The outstanding aggregate balance on these loans was $183 as of April 29, 2018. The maximum potential amount of future payments we could be required to make equals 25% of the outstanding loan balance. Our guarantees are indirectly secured by the distribution routes. We do not expect that we will be required to make material guarantee payments as a result of defaults on the bank loans guaranteed.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 addition, with the acquisition of Snyder's-Lance, we assumed future minimum lease commitments for operating leases of approximately $130.</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7"/>
              </w:rPr>
              <w:t>April 29,</w:t>
            </w:r>
          </w:p>
        </w:tc>
        <w:tc>
          <w:tcPr>
            <w:tcW w:w="240" w:type="dxa"/>
            <w:vAlign w:val="bottom"/>
          </w:tcPr>
          <w:p>
            <w:pPr>
              <w:spacing w:after="0"/>
              <w:rPr>
                <w:sz w:val="14"/>
                <w:szCs w:val="14"/>
                <w:color w:val="auto"/>
              </w:rPr>
            </w:pPr>
          </w:p>
        </w:tc>
        <w:tc>
          <w:tcPr>
            <w:tcW w:w="1020" w:type="dxa"/>
            <w:vAlign w:val="bottom"/>
          </w:tcPr>
          <w:p>
            <w:pPr>
              <w:jc w:val="center"/>
              <w:ind w:right="175"/>
              <w:spacing w:after="0"/>
              <w:rPr>
                <w:sz w:val="20"/>
                <w:szCs w:val="20"/>
                <w:color w:val="auto"/>
              </w:rPr>
            </w:pPr>
            <w:r>
              <w:rPr>
                <w:rFonts w:ascii="Arial" w:cs="Arial" w:eastAsia="Arial" w:hAnsi="Arial"/>
                <w:sz w:val="14"/>
                <w:szCs w:val="14"/>
                <w:b w:val="1"/>
                <w:bCs w:val="1"/>
                <w:color w:val="auto"/>
                <w:w w:val="93"/>
              </w:rPr>
              <w:t>July 30,</w:t>
            </w:r>
          </w:p>
        </w:tc>
        <w:tc>
          <w:tcPr>
            <w:tcW w:w="0" w:type="dxa"/>
            <w:vAlign w:val="bottom"/>
          </w:tcPr>
          <w:p>
            <w:pPr>
              <w:spacing w:after="0"/>
              <w:rPr>
                <w:sz w:val="1"/>
                <w:szCs w:val="1"/>
                <w:color w:val="auto"/>
              </w:rPr>
            </w:pPr>
          </w:p>
        </w:tc>
      </w:tr>
      <w:tr>
        <w:trPr>
          <w:trHeight w:val="192"/>
        </w:trPr>
        <w:tc>
          <w:tcPr>
            <w:tcW w:w="5240" w:type="dxa"/>
            <w:vAlign w:val="bottom"/>
            <w:tcBorders>
              <w:bottom w:val="single" w:sz="8" w:color="CCEEFF"/>
            </w:tcBorders>
          </w:tcPr>
          <w:p>
            <w:pPr>
              <w:spacing w:after="0"/>
              <w:rPr>
                <w:sz w:val="16"/>
                <w:szCs w:val="16"/>
                <w:color w:val="auto"/>
              </w:rPr>
            </w:pPr>
          </w:p>
        </w:tc>
        <w:tc>
          <w:tcPr>
            <w:tcW w:w="82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Raw materials, containers and supplies</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b w:val="1"/>
                <w:bCs w:val="1"/>
                <w:color w:val="auto"/>
              </w:rPr>
              <w:t>459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products</w:t>
            </w:r>
          </w:p>
        </w:tc>
        <w:tc>
          <w:tcPr>
            <w:tcW w:w="8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617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1,076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Statements of Earnings</w:t>
            </w:r>
          </w:p>
        </w:tc>
        <w:tc>
          <w:tcPr>
            <w:tcW w:w="8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524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219"/>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30,</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7"/>
              </w:rPr>
              <w:t>April 29,</w:t>
            </w:r>
          </w:p>
        </w:tc>
        <w:tc>
          <w:tcPr>
            <w:tcW w:w="240" w:type="dxa"/>
            <w:vAlign w:val="bottom"/>
          </w:tcPr>
          <w:p>
            <w:pPr>
              <w:spacing w:after="0"/>
              <w:rPr>
                <w:sz w:val="13"/>
                <w:szCs w:val="13"/>
                <w:color w:val="auto"/>
              </w:rPr>
            </w:pPr>
          </w:p>
        </w:tc>
        <w:tc>
          <w:tcPr>
            <w:tcW w:w="102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7"/>
              </w:rPr>
              <w:t>April 30,</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7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6"/>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jc w:val="center"/>
              <w:ind w:right="155"/>
              <w:spacing w:after="0"/>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82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1700" w:type="dxa"/>
            <w:vAlign w:val="bottom"/>
            <w:gridSpan w:val="2"/>
          </w:tcPr>
          <w:p>
            <w:pPr>
              <w:jc w:val="right"/>
              <w:ind w:right="682"/>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10</w:t>
            </w:r>
          </w:p>
        </w:tc>
        <w:tc>
          <w:tcPr>
            <w:tcW w:w="120" w:type="dxa"/>
            <w:vAlign w:val="bottom"/>
          </w:tcPr>
          <w:p>
            <w:pPr>
              <w:spacing w:after="0"/>
              <w:rPr>
                <w:sz w:val="21"/>
                <w:szCs w:val="21"/>
                <w:color w:val="auto"/>
              </w:rPr>
            </w:pPr>
          </w:p>
        </w:tc>
        <w:tc>
          <w:tcPr>
            <w:tcW w:w="900" w:type="dxa"/>
            <w:vAlign w:val="bottom"/>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Impairment of intangible assets</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3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6"/>
              </w:rPr>
              <w:t>608</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683</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w w:val="97"/>
              </w:rPr>
              <w:t>Net periodic benefit expense (income) other than the service cost</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99"/>
              </w:rPr>
              <w:t>(23)</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7"/>
              </w:rPr>
              <w:t>(19)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Investment (gains) / losses</w:t>
            </w: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240" w:type="dxa"/>
            <w:vAlign w:val="bottom"/>
          </w:tcPr>
          <w:p>
            <w:pPr>
              <w:ind w:left="180"/>
              <w:spacing w:after="0" w:line="270" w:lineRule="exact"/>
              <w:rPr>
                <w:sz w:val="20"/>
                <w:szCs w:val="20"/>
                <w:color w:val="auto"/>
              </w:rPr>
            </w:pPr>
            <w:r>
              <w:rPr>
                <w:rFonts w:ascii="Arial" w:cs="Arial" w:eastAsia="Arial" w:hAnsi="Arial"/>
                <w:sz w:val="18"/>
                <w:szCs w:val="18"/>
                <w:color w:val="auto"/>
              </w:rPr>
              <w:t>Transaction costs</w:t>
            </w:r>
            <w:r>
              <w:rPr>
                <w:rFonts w:ascii="Arial" w:cs="Arial" w:eastAsia="Arial" w:hAnsi="Arial"/>
                <w:sz w:val="25"/>
                <w:szCs w:val="25"/>
                <w:color w:val="auto"/>
                <w:vertAlign w:val="superscript"/>
              </w:rPr>
              <w:t>(2)</w:t>
            </w:r>
          </w:p>
        </w:tc>
        <w:tc>
          <w:tcPr>
            <w:tcW w:w="8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29</w:t>
            </w: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b w:val="1"/>
                <w:bCs w:val="1"/>
                <w:color w:val="auto"/>
              </w:rPr>
              <w:t>53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52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Legal settlement</w:t>
            </w:r>
          </w:p>
        </w:tc>
        <w:tc>
          <w:tcPr>
            <w:tcW w:w="8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240" w:type="dxa"/>
            <w:vAlign w:val="bottom"/>
          </w:tcPr>
          <w:p>
            <w:pPr>
              <w:ind w:left="180"/>
              <w:spacing w:after="0"/>
              <w:rPr>
                <w:sz w:val="20"/>
                <w:szCs w:val="20"/>
                <w:color w:val="auto"/>
              </w:rPr>
            </w:pPr>
            <w:r>
              <w:rPr>
                <w:rFonts w:ascii="Arial" w:cs="Arial" w:eastAsia="Arial" w:hAnsi="Arial"/>
                <w:sz w:val="18"/>
                <w:szCs w:val="18"/>
                <w:color w:val="auto"/>
              </w:rPr>
              <w:t>Other</w:t>
            </w:r>
          </w:p>
        </w:tc>
        <w:tc>
          <w:tcPr>
            <w:tcW w:w="8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700" w:type="dxa"/>
            <w:vAlign w:val="bottom"/>
            <w:gridSpan w:val="2"/>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rPr>
                <w:sz w:val="22"/>
                <w:szCs w:val="22"/>
                <w:color w:val="auto"/>
              </w:rPr>
            </w:pPr>
          </w:p>
        </w:tc>
        <w:tc>
          <w:tcPr>
            <w:tcW w:w="880" w:type="dxa"/>
            <w:vAlign w:val="bottom"/>
            <w:tcBorders>
              <w:top w:val="single" w:sz="8" w:color="auto"/>
              <w:bottom w:val="single" w:sz="8" w:color="auto"/>
            </w:tcBorders>
            <w:shd w:val="clear" w:color="auto" w:fill="CCEEFF"/>
          </w:tcPr>
          <w:p>
            <w:pPr>
              <w:jc w:val="right"/>
              <w:ind w:right="682"/>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6"/>
              </w:rPr>
              <w:t>647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900" w:type="dxa"/>
            <w:vAlign w:val="bottom"/>
            <w:tcBorders>
              <w:top w:val="single" w:sz="8" w:color="auto"/>
              <w:bottom w:val="single" w:sz="8" w:color="auto"/>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688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820" w:type="dxa"/>
            <w:vAlign w:val="bottom"/>
            <w:vMerge w:val="restart"/>
          </w:tcPr>
          <w:p>
            <w:pPr>
              <w:jc w:val="right"/>
              <w:ind w:right="176"/>
              <w:spacing w:after="0"/>
              <w:rPr>
                <w:sz w:val="20"/>
                <w:szCs w:val="20"/>
                <w:color w:val="auto"/>
              </w:rPr>
            </w:pPr>
            <w:r>
              <w:rPr>
                <w:rFonts w:ascii="Arial" w:cs="Arial" w:eastAsia="Arial" w:hAnsi="Arial"/>
                <w:sz w:val="18"/>
                <w:szCs w:val="18"/>
                <w:color w:val="auto"/>
              </w:rPr>
              <w:t>28</w:t>
            </w: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240" w:type="dxa"/>
            <w:vAlign w:val="bottom"/>
          </w:tcPr>
          <w:p>
            <w:pPr>
              <w:spacing w:after="0"/>
              <w:rPr>
                <w:sz w:val="24"/>
                <w:szCs w:val="24"/>
                <w:color w:val="auto"/>
              </w:rPr>
            </w:pPr>
          </w:p>
        </w:tc>
        <w:tc>
          <w:tcPr>
            <w:tcW w:w="8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_________________________________</w:t>
      </w:r>
    </w:p>
    <w:p>
      <w:pPr>
        <w:spacing w:after="0" w:line="171" w:lineRule="exact"/>
        <w:rPr>
          <w:sz w:val="20"/>
          <w:szCs w:val="20"/>
          <w:color w:val="auto"/>
        </w:rPr>
      </w:pPr>
    </w:p>
    <w:p>
      <w:pPr>
        <w:jc w:val="both"/>
        <w:ind w:left="180" w:hanging="172"/>
        <w:spacing w:after="0" w:line="250" w:lineRule="auto"/>
        <w:tabs>
          <w:tab w:leader="none" w:pos="210" w:val="left"/>
        </w:tabs>
        <w:numPr>
          <w:ilvl w:val="0"/>
          <w:numId w:val="24"/>
        </w:numPr>
        <w:rPr>
          <w:rFonts w:ascii="Arial" w:cs="Arial" w:eastAsia="Arial" w:hAnsi="Arial"/>
          <w:sz w:val="24"/>
          <w:szCs w:val="24"/>
          <w:color w:val="auto"/>
          <w:vertAlign w:val="superscript"/>
        </w:rPr>
      </w:pPr>
      <w:r>
        <w:rPr>
          <w:rFonts w:ascii="Arial" w:cs="Arial" w:eastAsia="Arial" w:hAnsi="Arial"/>
          <w:sz w:val="17"/>
          <w:szCs w:val="17"/>
          <w:color w:val="auto"/>
        </w:rPr>
        <w:t>In the three- and nine-month periods ended April 29, 2018, we recognized impairment charges of $608 related to the intangible assets of the deli reporting unit and the Bolthouse Farms refrigerated beverages and salad dressings reporting unit. The nine-month period ended April 29, 2018, also includes an impairment charge of $75 related to the goodwill of the Bolthouse Farms carrot and carrot ingredients reporting unit. In 2017, we recognized impairment charges of $212 related to the intangible assets of the Bolthouse Farms carrot and carrot ingredients reporting unit and the Garden Fresh Gourmet reporting unit. See Note 5 for additional information.</w:t>
      </w:r>
    </w:p>
    <w:p>
      <w:pPr>
        <w:spacing w:after="0" w:line="140" w:lineRule="exact"/>
        <w:rPr>
          <w:rFonts w:ascii="Arial" w:cs="Arial" w:eastAsia="Arial" w:hAnsi="Arial"/>
          <w:sz w:val="24"/>
          <w:szCs w:val="24"/>
          <w:color w:val="auto"/>
          <w:vertAlign w:val="superscript"/>
        </w:rPr>
      </w:pPr>
    </w:p>
    <w:p>
      <w:pPr>
        <w:ind w:left="180" w:hanging="172"/>
        <w:spacing w:after="0" w:line="216" w:lineRule="auto"/>
        <w:tabs>
          <w:tab w:leader="none" w:pos="223" w:val="left"/>
        </w:tabs>
        <w:numPr>
          <w:ilvl w:val="0"/>
          <w:numId w:val="24"/>
        </w:numPr>
        <w:rPr>
          <w:rFonts w:ascii="Arial" w:cs="Arial" w:eastAsia="Arial" w:hAnsi="Arial"/>
          <w:sz w:val="25"/>
          <w:szCs w:val="25"/>
          <w:color w:val="auto"/>
          <w:vertAlign w:val="superscript"/>
        </w:rPr>
      </w:pPr>
      <w:r>
        <w:rPr>
          <w:rFonts w:ascii="Arial" w:cs="Arial" w:eastAsia="Arial" w:hAnsi="Arial"/>
          <w:sz w:val="18"/>
          <w:szCs w:val="18"/>
          <w:color w:val="auto"/>
        </w:rPr>
        <w:t>In the three- and nine-month periods ended April 29, 2018, we recognized transaction costs of $29 and $53, respectively, related to the acquisition of Snyder's-Lance. See Note 3 for additional information.</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33" w:right="239" w:bottom="1440" w:gutter="0" w:footer="0" w:header="0"/>
        </w:sectPr>
      </w:pPr>
    </w:p>
    <w:bookmarkStart w:id="29" w:name="page30"/>
    <w:bookmarkEnd w:id="29"/>
    <w:p>
      <w:pPr>
        <w:ind w:right="4140"/>
        <w:spacing w:after="0" w:line="393"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 our Form 10-K for the year ended July 30, 2017, including but not limited to "Part I - Item 1A. Risk Factors" and "Part II - Item 7. Management's Discussion and Analysis of Financial Condition and Results of Operations;" our quarterly reports on Form 10-Q filed in 2018; and our current reports on Form 8-K filed in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 We are a manufacturer and marketer of high-quality, branded food and beverage products.</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December 12, 2017, we completed the acquisition of Pacific Foods of Oregon, LLC (Pacific Foods) for $689 million, subject to customary post-closing adjustments. On March 26, 2018, we completed the acquisition of Snyder’s-Lance, Inc. (Snyder's-Lance) for total consideration of $6.112 billion. For additional information on the acquisitions, see Note 3 to the Consolidated Financial Statements.</w:t>
      </w:r>
    </w:p>
    <w:p>
      <w:pPr>
        <w:spacing w:after="0" w:line="12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Commencing in the third quarter of 2018, we formed a new U.S. snacking unit, which combines Snyder's-Lance and Pepperidge Farm, and is an operating segment. As of the third quarter of 2018, we have four operating segments based primarily on product type, and three reportable segments. The U.S. snacking operating segment is aggregated with the international biscuit and snacks operating segment to form the Global Biscuits and Snacks reportable segment. The reportable segments are as follows: Americas Simple Meals and Beverages; Global Biscuits and Snacks; and Campbell Fresh.Through the fourth quarter of 2017, our business in Latin America was managed as part of the Americas Simple Meals and Beverages segment. Beginning in 2018, our business in Latin America is managed as part of the Global Biscuits and Snacks segment.</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Through the third quarter of 2018, our performance has been below our expectations. This lower-than-expected performance was driven by increased cost inflation, primarily higher than anticipated increases in transportation and logistics costs, as well as increased costs in Campbell Fresh, under performance with a key customer, and slightly higher promotional spending. We expect these factors to continue through the remainder of 2018. We also expect margin performance to decline in 2019 due in part to the anticipated impact of import tariffs and the ongoing increases in transportation and logistics costs. We also recorded $619 million of impairment charges related to our Campbell Fresh segment. For additional information on the impairments, see "Significant Accounting Estimates." Given our performance, we announced that we are conducting a review of our strategic and operating plans and the composition of our portfolio.</w:t>
      </w:r>
    </w:p>
    <w:p>
      <w:pPr>
        <w:spacing w:after="0" w:line="13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Effective May 18, 2018, Denise M. Morrison, our former President and Chief Executive Officer, retired. Keith R. McLoughlin, a director, was appointed as Interim President and Chief Executive Officer.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2018, we adopted new accounting guidance that changes the presentation of net periodic pension cost and net periodic postretirement benefit cost. Certain amounts in the prior year were reclassified to conform to the current presentation. See Note 2 to the Consolidated Financial Statements for additional information.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ind w:left="66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 sales of $2.125 billion increased 15% from the year-ago quarter primarily due to a 14-point benefit from the acquisitions of Snyder's-Lance and Pacific Foods and the favorable impact from currency translation.</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Gross profit, as a percent of sales, decreased to 29.1% from 35.9% in the year-ago quarter. The decrease was primarily due to cost inflation and higher supply chain costs, the dilutive impact of acquisitions, higher restructuring-related costs, and higher levels of promotional spending, partially offset by productivity improvements.</w:t>
      </w:r>
    </w:p>
    <w:p>
      <w:pPr>
        <w:spacing w:after="0" w:line="12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Administrative expenses increased 15% to $163 million from $142 million in the year-ago quarter. The increase was primarily due to higher expenses related to cost savings initiatives, the impact of acquisitions, including integration costs, partially offset by lower incentive compensation and benefit costs.</w:t>
      </w:r>
    </w:p>
    <w:p>
      <w:pPr>
        <w:spacing w:after="0" w:line="12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expenses / (income) decreased from income of $15 million in the year-ago quarter to expense of $647 million in the current quarter. The current year quarter included non-cash impairment charges of $608 million on the intangible assets of Campbell Fresh, transaction costs related to the Snyder's-Lance acquisition of $29 million, and expense of $22 million related to a settlement of a legal claim. For additional information on the impairment, see "Significant Accounting Estimates."</w:t>
      </w:r>
    </w:p>
    <w:p>
      <w:pPr>
        <w:spacing w:after="0" w:line="13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effective tax rate declined to 24.0% in the current quarter, compared to 34.8% in the year-ago quarter. In the current quarter, we recognized a tax benefit of $122 million on $619 million of impairment charges. The effective rate primarily</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10" w:right="239" w:bottom="1440" w:gutter="0" w:footer="0" w:header="0"/>
          <w:type w:val="continuous"/>
        </w:sectPr>
      </w:pPr>
    </w:p>
    <w:bookmarkStart w:id="30" w:name="page31"/>
    <w:bookmarkEnd w:id="30"/>
    <w:p>
      <w:pPr>
        <w:ind w:left="660"/>
        <w:spacing w:after="0" w:line="324" w:lineRule="auto"/>
        <w:rPr>
          <w:sz w:val="20"/>
          <w:szCs w:val="20"/>
          <w:color w:val="auto"/>
        </w:rPr>
      </w:pPr>
      <w:r>
        <w:rPr>
          <w:rFonts w:ascii="Arial" w:cs="Arial" w:eastAsia="Arial" w:hAnsi="Arial"/>
          <w:sz w:val="18"/>
          <w:szCs w:val="18"/>
          <w:color w:val="auto"/>
        </w:rPr>
        <w:t>decreased as the timing of recognizing tax expense was favorably impacted by the impairment charges, which will reverse in the fourth quarter of 2018.</w:t>
      </w:r>
    </w:p>
    <w:p>
      <w:pPr>
        <w:spacing w:after="0" w:line="89" w:lineRule="exact"/>
        <w:rPr>
          <w:sz w:val="20"/>
          <w:szCs w:val="20"/>
          <w:color w:val="auto"/>
        </w:rPr>
      </w:pPr>
    </w:p>
    <w:p>
      <w:pPr>
        <w:ind w:left="660" w:right="2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reported a loss per share of $1.31 in the current quarter, compared to earnings of $.58 a year ago. The current and prior-year quarter included expenses of $2.00 and $.01 per share, respectively, from items impacting comparability as discussed below.</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Year-to-date in 2018, we recognized gains of $14 million in Other expenses / (income) ($10 million after tax, or $.03 per share) associated with mark-to-market adjustments for defined benefit pension and postretirement plans. Year-to-date in 2017, we recognized losses of $20 million in Other expenses / (income) ($13 million after tax, or $.04 per share) associated with mark-to-market adjustments for defined benefit pension and postretirement plans;</w:t>
      </w:r>
    </w:p>
    <w:p>
      <w:pPr>
        <w:spacing w:after="0" w:line="132"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2015, we implemented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January 2018, as part of the expanded initiatives, we authorized additional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the third quarter of 2018, we recorded a pre-tax restructuring charge of $14 million and implementation costs and other related costs of $30 million in Administrative expenses, $14 million in Cost of products sold, and $2 million in Marketing and selling expenses (aggregate impact of $45 million after tax, or $.15 per share) related to these initiatives. Year-to-date in 2018, we recorded a pre-tax restructuring charge of $49 million and implementation costs and other related costs of $68 million in Administrative expenses, $20 million in Cost of products sold, and $2 million in Marketing and selling expenses (aggregate impact of $103 million after tax, or $.34 per share) related to these initiatives. In the third quarter of 2017, we recorded implementation costs and other related costs of $7 million in Administrative expenses ($4 million after tax, or $.01 per share) related to these initiatives. Year-to-date in 2017, we recorded implementation costs and other related costs of $18 million in Administrative expenses ($11 million after tax, or $.04 per share) related to these initiatives. See Note 7 to the Consolidated Financial Statements and "Restructuring Charges and Cost Savings Initiatives" for additional information;</w:t>
      </w:r>
    </w:p>
    <w:p>
      <w:pPr>
        <w:spacing w:after="0" w:line="131"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In the second quarter of 2018, we announced our intent to acquire Snyder's-Lance and incurred transaction costs of $24 million in Other expenses / (income) ($19 million after tax, or $.06 per share) associated with the acquisition. The acquisition closed on March 26, 2018, and in the third quarter of 2018, we incurred $82 million of transaction and integration costs, of which $10 million was recorded in Restructuring charges, $6 million in Administrative expenses, $29 million in Other expenses / (income), and $37 million in Cost of products sold associated with an acquisition date fair value adjustment for inventory. We also recorded a gain in Interest expense of $18 million on treasury rate lock contracts used to hedge the planned financing of the acquisition. The aggregate impact was $64 million, $46 million after tax, or $.15 per share. Year-to-date in 2018, we incurred $88 million of transaction and integration costs, of which $10 million was recorded in Restructuring charges, $6 million in Administrative expenses, $53 million in Other expenses / (income), $37 million in Cost of products sold, and a gain on the treasury rate lock contracts of $18 million in Interest expense. The aggregate after-tax impact was $65 million, or $.22 per share;</w:t>
      </w:r>
    </w:p>
    <w:p>
      <w:pPr>
        <w:spacing w:after="0" w:line="46" w:lineRule="exact"/>
        <w:rPr>
          <w:rFonts w:ascii="Arial" w:cs="Arial" w:eastAsia="Arial" w:hAnsi="Arial"/>
          <w:sz w:val="17"/>
          <w:szCs w:val="17"/>
          <w:color w:val="auto"/>
        </w:rPr>
      </w:pPr>
    </w:p>
    <w:p>
      <w:pPr>
        <w:jc w:val="both"/>
        <w:ind w:left="660" w:hanging="328"/>
        <w:spacing w:after="0" w:line="289"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 the third quarter of 2018, we performed interim impairment assessments within Campbell Fresh on the deli reporting unit, which includes Garden Fresh Gourmet and the U.S. refrigerated soup business, and the Bolthouse Farms refrigerated beverages and salad dressings reporting unit. Within the deli unit, we revised our long-term outlook due to the anticipated loss of refrigerated soup business with certain customers, as well as the recent performance of the business. In addition, the operating performance of the Bolthouse Farms refrigerated beverages and salad dressings reporting unit was below expectations. We revised our long-term outlook for future earnings and cash flows for each of these reporting units. We recorded a non-cash impairment charge of $11 million on the tangible assets and $94 million on the intangible assets ($80 million after tax, or $.27 per share) of the deli reporting unit, and a non-cash impairment charge of $514 million ($417 million after tax, or $1.39 per share) related to the intangible assets of the Bolthouse Farms refrigerated beverages and salad dressings reporting unit. The aggregate impact of the impairment charges was $619 million, of which $11 million was recorded in Cost of products sold and $608 million in Other expenses / (income), ($497 million after tax, or $1.65 per share).</w:t>
      </w:r>
    </w:p>
    <w:p>
      <w:pPr>
        <w:spacing w:after="0" w:line="112" w:lineRule="exact"/>
        <w:rPr>
          <w:rFonts w:ascii="Arial" w:cs="Arial" w:eastAsia="Arial" w:hAnsi="Arial"/>
          <w:sz w:val="16"/>
          <w:szCs w:val="16"/>
          <w:color w:val="auto"/>
        </w:rPr>
      </w:pPr>
    </w:p>
    <w:p>
      <w:pPr>
        <w:jc w:val="both"/>
        <w:ind w:left="660"/>
        <w:spacing w:after="0" w:line="259" w:lineRule="auto"/>
        <w:rPr>
          <w:rFonts w:ascii="Arial" w:cs="Arial" w:eastAsia="Arial" w:hAnsi="Arial"/>
          <w:sz w:val="16"/>
          <w:szCs w:val="16"/>
          <w:color w:val="auto"/>
        </w:rPr>
      </w:pPr>
      <w:r>
        <w:rPr>
          <w:rFonts w:ascii="Arial" w:cs="Arial" w:eastAsia="Arial" w:hAnsi="Arial"/>
          <w:sz w:val="18"/>
          <w:szCs w:val="18"/>
          <w:color w:val="auto"/>
        </w:rPr>
        <w:t>In the second quarter of 2018, we performed an interim impairment assessment on the intangible assets of the Bolthouse Farms carrot and carrot ingredients reporting unit as operating performance was below expectations. We revised our outlook for future earnings and cash flows and recorded a non-cash impairment charge of $75 million in Other expenses / (income) ($74 million after tax, or $.25 per share). Year-to-date in 2018, the total non-cash impairment charges recorded</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41" w:right="239" w:bottom="1440" w:gutter="0" w:footer="0" w:header="0"/>
        </w:sectPr>
      </w:pPr>
    </w:p>
    <w:bookmarkStart w:id="31" w:name="page32"/>
    <w:bookmarkEnd w:id="31"/>
    <w:p>
      <w:pPr>
        <w:jc w:val="both"/>
        <w:ind w:left="660"/>
        <w:spacing w:after="0" w:line="277" w:lineRule="auto"/>
        <w:rPr>
          <w:sz w:val="20"/>
          <w:szCs w:val="20"/>
          <w:color w:val="auto"/>
        </w:rPr>
      </w:pPr>
      <w:r>
        <w:rPr>
          <w:rFonts w:ascii="Arial" w:cs="Arial" w:eastAsia="Arial" w:hAnsi="Arial"/>
          <w:sz w:val="18"/>
          <w:szCs w:val="18"/>
          <w:color w:val="auto"/>
        </w:rPr>
        <w:t>were $694 million, of which $11 million was recorded in Cost of products sold and $683 million in Other expenses / (income), ($571 million after tax, or $1.89 per share).</w:t>
      </w:r>
    </w:p>
    <w:p>
      <w:pPr>
        <w:spacing w:after="0" w:line="116" w:lineRule="exact"/>
        <w:rPr>
          <w:sz w:val="20"/>
          <w:szCs w:val="20"/>
          <w:color w:val="auto"/>
        </w:rPr>
      </w:pPr>
    </w:p>
    <w:p>
      <w:pPr>
        <w:jc w:val="both"/>
        <w:ind w:left="660"/>
        <w:spacing w:after="0" w:line="291" w:lineRule="auto"/>
        <w:rPr>
          <w:sz w:val="20"/>
          <w:szCs w:val="20"/>
          <w:color w:val="auto"/>
        </w:rPr>
      </w:pPr>
      <w:r>
        <w:rPr>
          <w:rFonts w:ascii="Arial" w:cs="Arial" w:eastAsia="Arial" w:hAnsi="Arial"/>
          <w:sz w:val="16"/>
          <w:szCs w:val="16"/>
          <w:color w:val="auto"/>
        </w:rPr>
        <w:t>In the second quarter of 2017, we performed an interim impairment assessment on the intangible assets of the Bolthouse Farms carrot and carrot ingredients reporting unit and the Garden Fresh Gourmet reporting unit as operating performance was well below expectations and a new leadership team of the Campbell Fresh division initiated a strategic review which led to a revised outlook for future sales, earnings, and cash flow. We recorded a non-cash impairment charge of $147 million ($139 million after tax, or $.45 per share) related to intangible assets of the Bolthouse Farms carrot and carrot ingredients reporting unit and a non-cash impairment charge of $65 million ($41 million after tax, or $.13 per share) related to the intangible assets of the Garden Fresh Gourmet reporting unit (aggregate pre-tax impact of $212 million, $180 million after tax, or $.58 per share). The charges were included in Other expenses / (income). See "Significant Accounting Estimates" for additional information;</w:t>
      </w:r>
    </w:p>
    <w:p>
      <w:pPr>
        <w:spacing w:after="0" w:line="113" w:lineRule="exact"/>
        <w:rPr>
          <w:sz w:val="20"/>
          <w:szCs w:val="20"/>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the third quarter of 2018, we recorded expense of $22 million in Other expenses / (income) ($15 million after tax, or $.05 per share) from a settlement of a legal claim; and</w:t>
      </w:r>
    </w:p>
    <w:p>
      <w:pPr>
        <w:spacing w:after="0" w:line="11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Year-to-date in 2018, we reflected the impact on taxes of the enactment of the Act that was signed into law in December 2017. We recorded a tax benefit of $179 million due to the remeasurement of deferred tax assets and liabilities, and a tax charge of $59 million related to a transition tax on unremitted foreign earnings. The net impact was a tax benefit of $120 million ($.40 per share). See Note 11 to the Consolidated Financial Statements and "Taxes on Earnings" for additional information.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April 29,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April 30, 2017</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(loss)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implementation costs and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4"/>
                <w:szCs w:val="14"/>
                <w:b w:val="1"/>
                <w:bCs w:val="1"/>
                <w:color w:val="auto"/>
              </w:rPr>
              <w:t>April 29,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April 30, 2017</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4"/>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4"/>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167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569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Transaction and integration costs</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charges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(571)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Tax reform</w:t>
            </w:r>
          </w:p>
        </w:tc>
        <w:tc>
          <w:tcPr>
            <w:tcW w:w="180" w:type="dxa"/>
            <w:vAlign w:val="bottom"/>
          </w:tcPr>
          <w:p>
            <w:pPr>
              <w:spacing w:after="0"/>
              <w:rPr>
                <w:sz w:val="21"/>
                <w:szCs w:val="21"/>
                <w:color w:val="auto"/>
              </w:rPr>
            </w:pPr>
          </w:p>
        </w:tc>
        <w:tc>
          <w:tcPr>
            <w:tcW w:w="860" w:type="dxa"/>
            <w:vAlign w:val="bottom"/>
          </w:tcPr>
          <w:p>
            <w:pPr>
              <w:jc w:val="right"/>
              <w:ind w:right="35"/>
              <w:spacing w:after="0"/>
              <w:rPr>
                <w:sz w:val="20"/>
                <w:szCs w:val="20"/>
                <w:color w:val="auto"/>
              </w:rPr>
            </w:pPr>
            <w:r>
              <w:rPr>
                <w:rFonts w:ascii="Arial" w:cs="Arial" w:eastAsia="Arial" w:hAnsi="Arial"/>
                <w:sz w:val="18"/>
                <w:szCs w:val="18"/>
                <w:b w:val="1"/>
                <w:bCs w:val="1"/>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b w:val="1"/>
                <w:bCs w:val="1"/>
                <w:color w:val="auto"/>
              </w:rPr>
              <w:t>.40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loss attributable to Campbell Soup Company was $393 million ($1.31 per share) in the current quarter, compared to net earnings of $176 million ($.58 per share) in the year-ago quarter. After adjusting for items impacting comparability, earnings increased due to a lower effective tax rate, partially offset by higher interest expense.</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earnings attributable to Campbell Soup Company were $167 million ($.55 per share) in the nine-month period ended April 29, 2018, compared to $569 million ($1.85 per share) in the year-ago period. After adjusting for items impacting comparability, earnings increased primarily due to a lower effective tax rate and an increase in other income, partially offset by a lower gross</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14"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7"/>
          <w:szCs w:val="17"/>
          <w:color w:val="auto"/>
        </w:rPr>
        <w:t>profit performance, and higher interest expense. Earnings per share benefited from a reduction in the weighted average diluted shares outstanding.</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THIRD-QUARTER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3"/>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29, 2018</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2017</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862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248</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2,125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1,853</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2"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An analysis of percent change of net sales by reportable segment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(1)</w:t>
            </w:r>
          </w:p>
        </w:tc>
        <w:tc>
          <w:tcPr>
            <w:tcW w:w="100" w:type="dxa"/>
            <w:vAlign w:val="bottom"/>
            <w:vMerge w:val="restart"/>
          </w:tcPr>
          <w:p>
            <w:pPr>
              <w:spacing w:after="0"/>
              <w:rPr>
                <w:sz w:val="14"/>
                <w:szCs w:val="14"/>
                <w:color w:val="auto"/>
              </w:rPr>
            </w:pPr>
          </w:p>
        </w:tc>
        <w:tc>
          <w:tcPr>
            <w:tcW w:w="16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and Beverages</w:t>
            </w:r>
            <w:r>
              <w:rPr>
                <w:rFonts w:ascii="Arial" w:cs="Arial" w:eastAsia="Arial" w:hAnsi="Arial"/>
                <w:sz w:val="8"/>
                <w:szCs w:val="8"/>
                <w:b w:val="1"/>
                <w:bCs w:val="1"/>
                <w:color w:val="auto"/>
                <w:w w:val="91"/>
              </w:rPr>
              <w:t>(1)</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Snacks</w:t>
            </w:r>
            <w:r>
              <w:rPr>
                <w:rFonts w:ascii="Arial" w:cs="Arial" w:eastAsia="Arial" w:hAnsi="Arial"/>
                <w:sz w:val="8"/>
                <w:szCs w:val="8"/>
                <w:b w:val="1"/>
                <w:bCs w:val="1"/>
                <w:color w:val="auto"/>
                <w:w w:val="88"/>
              </w:rPr>
              <w:t>(1)</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7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(Increased)/Decreased Promotional Spending</w:t>
            </w:r>
            <w:r>
              <w:rPr>
                <w:rFonts w:ascii="Arial" w:cs="Arial" w:eastAsia="Arial" w:hAnsi="Arial"/>
                <w:sz w:val="25"/>
                <w:szCs w:val="25"/>
                <w:color w:val="auto"/>
                <w:vertAlign w:val="superscript"/>
              </w:rPr>
              <w:t>(2)</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0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32</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35%</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0"/>
        </w:numPr>
        <w:rPr>
          <w:rFonts w:ascii="Arial" w:cs="Arial" w:eastAsia="Arial" w:hAnsi="Arial"/>
          <w:sz w:val="25"/>
          <w:szCs w:val="25"/>
          <w:color w:val="auto"/>
          <w:vertAlign w:val="superscript"/>
        </w:rPr>
      </w:pPr>
      <w:r>
        <w:rPr>
          <w:rFonts w:ascii="Arial" w:cs="Arial" w:eastAsia="Arial" w:hAnsi="Arial"/>
          <w:sz w:val="18"/>
          <w:szCs w:val="18"/>
          <w:color w:val="auto"/>
        </w:rPr>
        <w:t>Sum of individual amounts does not add due to rounding.</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0"/>
        </w:numPr>
        <w:rPr>
          <w:rFonts w:ascii="Arial" w:cs="Arial" w:eastAsia="Arial" w:hAnsi="Arial"/>
          <w:sz w:val="24"/>
          <w:szCs w:val="24"/>
          <w:color w:val="auto"/>
          <w:vertAlign w:val="superscript"/>
        </w:rPr>
      </w:pPr>
      <w:r>
        <w:rPr>
          <w:rFonts w:ascii="Arial" w:cs="Arial" w:eastAsia="Arial" w:hAnsi="Arial"/>
          <w:sz w:val="17"/>
          <w:szCs w:val="17"/>
          <w:color w:val="auto"/>
        </w:rPr>
        <w:t>Represents revenue reductions from trade promotion and consumer coupon redemption programs.</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Americas Simple Meals and Beverages, sales increased 5%, reflecting a 6-point benefit from the acquisition of Pacific Foods, partially offset by declines in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w:t>
      </w:r>
      <w:r>
        <w:rPr>
          <w:rFonts w:ascii="Arial" w:cs="Arial" w:eastAsia="Arial" w:hAnsi="Arial"/>
          <w:sz w:val="18"/>
          <w:szCs w:val="18"/>
          <w:i w:val="1"/>
          <w:iCs w:val="1"/>
          <w:color w:val="auto"/>
        </w:rPr>
        <w:t>Plum</w:t>
      </w:r>
      <w:r>
        <w:rPr>
          <w:rFonts w:ascii="Arial" w:cs="Arial" w:eastAsia="Arial" w:hAnsi="Arial"/>
          <w:sz w:val="18"/>
          <w:szCs w:val="18"/>
          <w:color w:val="auto"/>
        </w:rPr>
        <w:t xml:space="preserve"> products, and U.S. soup. Excluding Pacific Foods, U.S. soup sales decreased 1% due to declines in condensed soups, partly offset by gains in broth and ready-to-serve soups. We increased promotional spending on U.S. soup, </w:t>
      </w:r>
      <w:r>
        <w:rPr>
          <w:rFonts w:ascii="Arial" w:cs="Arial" w:eastAsia="Arial" w:hAnsi="Arial"/>
          <w:sz w:val="18"/>
          <w:szCs w:val="18"/>
          <w:i w:val="1"/>
          <w:iCs w:val="1"/>
          <w:color w:val="auto"/>
        </w:rPr>
        <w:t>Plum</w:t>
      </w:r>
      <w:r>
        <w:rPr>
          <w:rFonts w:ascii="Arial" w:cs="Arial" w:eastAsia="Arial" w:hAnsi="Arial"/>
          <w:sz w:val="18"/>
          <w:szCs w:val="18"/>
          <w:color w:val="auto"/>
        </w:rPr>
        <w:t xml:space="preserve"> products and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to remain competitive.</w:t>
      </w:r>
    </w:p>
    <w:p>
      <w:pPr>
        <w:spacing w:after="0" w:line="13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Global Biscuits and Snacks, sales increased 35%, primarily due to a 32-point benefit from the acquisition of Snyder's-Lance. Excluding the benefit from the acquisition and the favorable impact of currency translation, sales increased primarily due to gains in Pepperidge Farm, reflecting growth in </w:t>
      </w:r>
      <w:r>
        <w:rPr>
          <w:rFonts w:ascii="Arial" w:cs="Arial" w:eastAsia="Arial" w:hAnsi="Arial"/>
          <w:sz w:val="18"/>
          <w:szCs w:val="18"/>
          <w:i w:val="1"/>
          <w:iCs w:val="1"/>
          <w:color w:val="auto"/>
        </w:rPr>
        <w:t>Goldfish</w:t>
      </w:r>
      <w:r>
        <w:rPr>
          <w:rFonts w:ascii="Arial" w:cs="Arial" w:eastAsia="Arial" w:hAnsi="Arial"/>
          <w:sz w:val="18"/>
          <w:szCs w:val="18"/>
          <w:color w:val="auto"/>
        </w:rPr>
        <w:t xml:space="preserve"> crackers and in cookies.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Campbell Fresh, sales increased 1%, primarily due to gains in refrigerated soup. Sales of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were comparable to the prior year.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$47 million in 2018 from 2017. As a percent of sales, gross profit was 29.1% in 2018 and 35.9% in 2017.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14"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The 6.8% percentage-point overall decrease in gross profit percentage was due to the following factors: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Impact of acquisitions</w:t>
            </w:r>
            <w:r>
              <w:rPr>
                <w:rFonts w:ascii="Arial" w:cs="Arial" w:eastAsia="Arial" w:hAnsi="Arial"/>
                <w:sz w:val="25"/>
                <w:szCs w:val="25"/>
                <w:color w:val="auto"/>
                <w:vertAlign w:val="superscript"/>
              </w:rPr>
              <w:t>(2)</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(2.8)</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(0.6)</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Restructuring-related costs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(0.7)</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 on plant assets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(0.5)</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Mix</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1.3</w:t>
            </w:r>
          </w:p>
        </w:tc>
        <w:tc>
          <w:tcPr>
            <w:tcW w:w="0" w:type="dxa"/>
            <w:vAlign w:val="bottom"/>
          </w:tcPr>
          <w:p>
            <w:pPr>
              <w:spacing w:after="0"/>
              <w:rPr>
                <w:sz w:val="1"/>
                <w:szCs w:val="1"/>
                <w:color w:val="auto"/>
              </w:rPr>
            </w:pPr>
          </w:p>
        </w:tc>
      </w:tr>
      <w:tr>
        <w:trPr>
          <w:trHeight w:val="237"/>
        </w:trPr>
        <w:tc>
          <w:tcPr>
            <w:tcW w:w="96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7"/>
        </w:trPr>
        <w:tc>
          <w:tcPr>
            <w:tcW w:w="96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vMerge w:val="continue"/>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20" w:hanging="332"/>
        <w:spacing w:after="0" w:line="216"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0.7 from cost savings initiatives, which was more than offset by cost inflation and other factors, including higher transportation and logistics costs and higher costs in Campbell Fresh in 2018.</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a negative margin impact of 1.7 from a Snyder's-Lance acquisition date fair value adjustment for 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Marketing and selling expenses as a percent of sales were 10.9% in 2018 compared to 11.4% in 2017. Marketing and selling expenses increased 9% in 2018 from 2017. The increase was primarily due to the impact of acquisitions (approximately 12 percentage points), partially offset by increased benefits from cost savings initiatives (approximately 3 percentage points).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7.7% in 2018 and in 2017. Administrative expenses increased 15% in 2018 from 2017. The increase was primarily due to higher costs related to cost savings initiatives (approximately 16 percentage points), the impact of acquisitions (approximately 6 percentage points) and acquisition integration costs (approximately 4 percentage points), partially offset by lower incentive compensation (approximately 6 percentage points) and lower benefit costs (approximately 4 percentage points).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expenses in 2018 included non-cash impairment charges of $608 million related to the intangible assets of the deli reporting unit and the Bolthouse Farms refrigerated beverages and salad dressings reporting unit, $29 million of transaction costs associated with the acquisition of Snyder's-Lance, and $22 million of expense related to the settlement of a legal claim.</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1% from the year-ago quarter.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59"/>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9"/>
              </w:rPr>
              <w:t>April 30, 2017</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4"/>
              </w:rPr>
              <w:t>(3)%</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780" w:type="dxa"/>
            <w:vAlign w:val="bottom"/>
          </w:tcPr>
          <w:p>
            <w:pPr>
              <w:jc w:val="right"/>
              <w:ind w:right="12"/>
              <w:spacing w:after="0"/>
              <w:rPr>
                <w:sz w:val="20"/>
                <w:szCs w:val="20"/>
                <w:color w:val="auto"/>
              </w:rPr>
            </w:pPr>
            <w:r>
              <w:rPr>
                <w:rFonts w:ascii="Arial" w:cs="Arial" w:eastAsia="Arial" w:hAnsi="Arial"/>
                <w:sz w:val="18"/>
                <w:szCs w:val="18"/>
                <w:b w:val="1"/>
                <w:bCs w:val="1"/>
                <w:color w:val="auto"/>
              </w:rPr>
              <w:t>123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220" w:type="dxa"/>
            <w:vAlign w:val="bottom"/>
            <w:gridSpan w:val="2"/>
          </w:tcPr>
          <w:p>
            <w:pPr>
              <w:jc w:val="center"/>
              <w:spacing w:after="0"/>
              <w:rPr>
                <w:sz w:val="20"/>
                <w:szCs w:val="20"/>
                <w:color w:val="auto"/>
              </w:rPr>
            </w:pPr>
            <w:r>
              <w:rPr>
                <w:rFonts w:ascii="Arial" w:cs="Arial" w:eastAsia="Arial" w:hAnsi="Arial"/>
                <w:sz w:val="18"/>
                <w:szCs w:val="18"/>
                <w:color w:val="auto"/>
                <w:w w:val="89"/>
              </w:rPr>
              <w:t>23</w:t>
            </w:r>
          </w:p>
        </w:tc>
      </w:tr>
      <w:tr>
        <w:trPr>
          <w:trHeight w:val="27"/>
        </w:trPr>
        <w:tc>
          <w:tcPr>
            <w:tcW w:w="7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5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321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r>
      <w:tr>
        <w:trPr>
          <w:trHeight w:val="27"/>
        </w:trPr>
        <w:tc>
          <w:tcPr>
            <w:tcW w:w="7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(772)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7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69"/>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interest and taxes</w:t>
            </w:r>
          </w:p>
        </w:tc>
        <w:tc>
          <w:tcPr>
            <w:tcW w:w="46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earnings from Americas Simple Meals and Beverages decreased 3%. The decrease was primarily due to a lower gross profit percentage, partly offset by lower administrative expenses and lower marketing and selling expenses. Gross profit performance was impacted by higher transportation and logistics costs, increased promotional spending and the dilutive impact from the acquisition of Pacific Foods.</w:t>
      </w:r>
    </w:p>
    <w:p>
      <w:pPr>
        <w:sectPr>
          <w:pgSz w:w="11900" w:h="16838" w:orient="portrait"/>
          <w:cols w:equalWidth="0" w:num="1">
            <w:col w:w="11420"/>
          </w:cols>
          <w:pgMar w:left="240" w:top="1314" w:right="239" w:bottom="1440" w:gutter="0" w:footer="0" w:header="0"/>
        </w:sect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14" w:right="239" w:bottom="1440" w:gutter="0" w:footer="0" w:header="0"/>
          <w:type w:val="continuous"/>
        </w:sectPr>
      </w:pPr>
    </w:p>
    <w:bookmarkStart w:id="34" w:name="page35"/>
    <w:bookmarkEnd w:id="34"/>
    <w:p>
      <w:pPr>
        <w:ind w:left="340"/>
        <w:spacing w:after="0"/>
        <w:rPr>
          <w:sz w:val="20"/>
          <w:szCs w:val="20"/>
          <w:color w:val="auto"/>
        </w:rPr>
      </w:pPr>
      <w:r>
        <w:rPr>
          <w:rFonts w:ascii="Arial" w:cs="Arial" w:eastAsia="Arial" w:hAnsi="Arial"/>
          <w:sz w:val="16"/>
          <w:szCs w:val="16"/>
          <w:color w:val="auto"/>
        </w:rPr>
        <w:t>Operating earnings from Global Biscuits and Snacks increased 23%. The increase was primarily due to the benefit of the acquisition of Snyder’s-Lance.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the impact of the acquisition, segment earnings grew modestly.</w:t>
      </w:r>
    </w:p>
    <w:p>
      <w:pPr>
        <w:spacing w:after="0" w:line="17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8"/>
          <w:szCs w:val="18"/>
          <w:color w:val="auto"/>
        </w:rPr>
        <w:t>Operating earnings from Campbell Fresh were a loss of $19 million in 2018 and a gain of $1 million in 2017. The decrease was primarily due to a lower gross profit percentage, reflecting lower manufacturing efficiencies and reduced carrot crop yields, as well as higher levels of cost inflation, including increased transportation and logistics costs.</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in 2018 included the following:</w:t>
      </w:r>
    </w:p>
    <w:p>
      <w:pPr>
        <w:spacing w:after="0" w:line="171" w:lineRule="exact"/>
        <w:rPr>
          <w:sz w:val="20"/>
          <w:szCs w:val="20"/>
          <w:color w:val="auto"/>
        </w:rPr>
      </w:pPr>
    </w:p>
    <w:p>
      <w:pPr>
        <w:ind w:left="660" w:hanging="166"/>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non-cash impairment charges of $619 million related to the assets of the deli reporting unit and the Bolthouse Farms refrigerated beverages and salad dressings reporting unit;</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transaction and integration costs of $72 million associated with the acquisition of Snyder's-Lance;</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of $46 million related to cost savings initiatives;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$22 million of expense related to the settlement of a legal claim.</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Corporate in 2017 included costs of $7 million related to cost savings initiatives. Excluding these amounts, the remaining decrease in costs was primarily due to higher pension and postretirement benefit income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to $44 million in 2018 from $29 million in 2017. The increase in interest expense was due to higher levels of debt associated with funding the acquisitions and higher average interest rates on the debt portfolio, partially offset by a gain of $18 million on treasury rate lock contracts used to hedge the planned financing of the Snyder's-Lance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24.0% in 2018 and 34.8% in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tax rate in 2018 and 2017:</w:t>
      </w:r>
    </w:p>
    <w:p>
      <w:pPr>
        <w:spacing w:after="0" w:line="171" w:lineRule="exact"/>
        <w:rPr>
          <w:sz w:val="20"/>
          <w:szCs w:val="20"/>
          <w:color w:val="auto"/>
        </w:rPr>
      </w:pPr>
    </w:p>
    <w:p>
      <w:pPr>
        <w:ind w:left="660" w:right="20" w:hanging="16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2018, we recognized a $15 million tax benefit on $60 million of restructuring charges, implementation costs and other related costs. In 2017, we recognized a $3 million tax benefit on $7 million of restructuring charges, implementation costs and other related costs;</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2018, we recognized an $18 million tax benefit on $64 million of transaction and integration costs associated with the acquisition of Snyder's-Lance;</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2018, we recognized a $122 million tax benefit on the $619 million impairment charges on the tangible and intangible assets of the deli reporting unit and the Bolthouse Farms refrigerated beverages and salad dressings reporting unit; and</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2018, we recognized a $7 million tax benefit on $22 million of expense related to the settlement of a legal claim.</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decrease in the effective tax rate was primarily due to the timing of recognizing tax expense related to the 2018 impairment charges, which will reverse in the fourth quarter of 2018.</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13"/>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April 29, 2018</w:t>
            </w:r>
          </w:p>
        </w:tc>
        <w:tc>
          <w:tcPr>
            <w:tcW w:w="180" w:type="dxa"/>
            <w:vAlign w:val="bottom"/>
          </w:tcPr>
          <w:p>
            <w:pPr>
              <w:spacing w:after="0"/>
              <w:rPr>
                <w:sz w:val="22"/>
                <w:szCs w:val="22"/>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April 30, 2017</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(1)</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3,424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2,297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2,025</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742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20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6,466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6,226</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1"/>
        </w:trPr>
        <w:tc>
          <w:tcPr>
            <w:tcW w:w="708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n/m - Not meaningful.</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420"/>
          </w:cols>
          <w:pgMar w:left="240" w:top="1314" w:right="239" w:bottom="1440" w:gutter="0" w:footer="0" w:header="0"/>
        </w:sect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14" w:right="239" w:bottom="1440" w:gutter="0" w:footer="0" w:header="0"/>
          <w:type w:val="continuous"/>
        </w:sectPr>
      </w:pPr>
    </w:p>
    <w:bookmarkStart w:id="35" w:name="page36"/>
    <w:bookmarkEnd w:id="35"/>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Americas Simple Meals</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Global Biscuits and</w:t>
            </w:r>
          </w:p>
        </w:tc>
        <w:tc>
          <w:tcPr>
            <w:tcW w:w="16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00" w:type="dxa"/>
            <w:vAlign w:val="bottom"/>
            <w:vMerge w:val="restart"/>
          </w:tcPr>
          <w:p>
            <w:pPr>
              <w:spacing w:after="0"/>
              <w:rPr>
                <w:sz w:val="14"/>
                <w:szCs w:val="14"/>
                <w:color w:val="auto"/>
              </w:rPr>
            </w:pPr>
          </w:p>
        </w:tc>
        <w:tc>
          <w:tcPr>
            <w:tcW w:w="160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Total</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and Beverages</w:t>
            </w:r>
          </w:p>
        </w:tc>
        <w:tc>
          <w:tcPr>
            <w:tcW w:w="12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Snacks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w:t>
            </w:r>
          </w:p>
        </w:tc>
        <w:tc>
          <w:tcPr>
            <w:tcW w:w="1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20" w:type="dxa"/>
            <w:vAlign w:val="bottom"/>
          </w:tcPr>
          <w:p>
            <w:pPr>
              <w:spacing w:after="0"/>
              <w:rPr>
                <w:sz w:val="21"/>
                <w:szCs w:val="21"/>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100" w:type="dxa"/>
            <w:vAlign w:val="bottom"/>
          </w:tcPr>
          <w:p>
            <w:pPr>
              <w:spacing w:after="0"/>
              <w:rPr>
                <w:sz w:val="21"/>
                <w:szCs w:val="21"/>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Sum of the individual amounts does not add due to rounding.</w:t>
      </w:r>
    </w:p>
    <w:p>
      <w:pPr>
        <w:spacing w:after="0" w:line="83"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 xml:space="preserve">In Americas Simple Meals and Beverages, sales decreased 1%, primarily due to declines in U.S. soup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partially offset by the benefit of the acquisition of Pacific Foods, and an increase in the retail business in Canada driven by the favorable impact of currency translation and volume gains. Excluding Pacific Foods, sales of U.S. soup declined 7%, driven by declines in condensed soups, ready-to-serve soups and broth. The decline in U.S. soup was primarily due to a key customer’s different promotional approach for soup in 2018.</w:t>
      </w:r>
    </w:p>
    <w:p>
      <w:pPr>
        <w:spacing w:after="0" w:line="13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Global Biscuits and Snacks, sales increased 13%, primarily due to the 10-point benefit of the acquisition of Snyder’s-Lance. Excluding Snyder’s-Lance and the favorable impact of currency translation, sales increased primarily due to gains in Pepperidge Farm, reflecting growth in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and in cookies, as well as gains of Kelsen cookies in China, partially offset by declines in Arnott’s biscuits, primarily due to lower volumes in Indonesia.</w:t>
      </w:r>
    </w:p>
    <w:p>
      <w:pPr>
        <w:spacing w:after="0" w:line="106"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color w:val="auto"/>
        </w:rPr>
        <w:t xml:space="preserve">In Campbell Fresh, sales were comparable to the prior year as gains in carrot ingredients were offset by declines in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and in carrots</w:t>
      </w:r>
      <w:r>
        <w:rPr>
          <w:rFonts w:ascii="Arial" w:cs="Arial" w:eastAsia="Arial" w:hAnsi="Arial"/>
          <w:sz w:val="19"/>
          <w:szCs w:val="19"/>
          <w:color w:val="auto"/>
        </w:rPr>
        <w: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decreased by $160 million in 2018 from 2017. As a percent of sales, gross profit was 33.5% in 2018 and 37.4% in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3.9 percentage-point overall decrease in gross profit percentage was due to the following factors: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70"/>
        </w:trPr>
        <w:tc>
          <w:tcPr>
            <w:tcW w:w="96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rPr>
                <w:sz w:val="1"/>
                <w:szCs w:val="1"/>
                <w:color w:val="auto"/>
              </w:rPr>
            </w:pPr>
          </w:p>
        </w:tc>
      </w:tr>
      <w:tr>
        <w:trPr>
          <w:trHeight w:val="270"/>
        </w:trPr>
        <w:tc>
          <w:tcPr>
            <w:tcW w:w="9600" w:type="dxa"/>
            <w:vAlign w:val="bottom"/>
          </w:tcPr>
          <w:p>
            <w:pPr>
              <w:ind w:left="40"/>
              <w:spacing w:after="0" w:line="270" w:lineRule="exact"/>
              <w:rPr>
                <w:sz w:val="20"/>
                <w:szCs w:val="20"/>
                <w:color w:val="auto"/>
              </w:rPr>
            </w:pPr>
            <w:r>
              <w:rPr>
                <w:rFonts w:ascii="Arial" w:cs="Arial" w:eastAsia="Arial" w:hAnsi="Arial"/>
                <w:sz w:val="18"/>
                <w:szCs w:val="18"/>
                <w:color w:val="auto"/>
              </w:rPr>
              <w:t>Impact of acquisitions</w:t>
            </w:r>
            <w:r>
              <w:rPr>
                <w:rFonts w:ascii="Arial" w:cs="Arial" w:eastAsia="Arial" w:hAnsi="Arial"/>
                <w:sz w:val="25"/>
                <w:szCs w:val="25"/>
                <w:color w:val="auto"/>
                <w:vertAlign w:val="superscript"/>
              </w:rPr>
              <w:t>(2)</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(1.2)</w:t>
            </w:r>
          </w:p>
        </w:tc>
        <w:tc>
          <w:tcPr>
            <w:tcW w:w="0" w:type="dxa"/>
            <w:vAlign w:val="bottom"/>
          </w:tcPr>
          <w:p>
            <w:pPr>
              <w:spacing w:after="0"/>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Mix</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(0.4)</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Restructuring-related costs</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(0.3)</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Impairment charge on plant assets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(0.2)</w:t>
            </w:r>
          </w:p>
        </w:tc>
        <w:tc>
          <w:tcPr>
            <w:tcW w:w="0" w:type="dxa"/>
            <w:vAlign w:val="bottom"/>
          </w:tcPr>
          <w:p>
            <w:pPr>
              <w:spacing w:after="0"/>
              <w:rPr>
                <w:sz w:val="1"/>
                <w:szCs w:val="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Higher level of promotional spending</w:t>
            </w: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1"/>
              </w:rPr>
              <w:t>(0.1)</w:t>
            </w:r>
          </w:p>
        </w:tc>
        <w:tc>
          <w:tcPr>
            <w:tcW w:w="0" w:type="dxa"/>
            <w:vAlign w:val="bottom"/>
          </w:tcPr>
          <w:p>
            <w:pPr>
              <w:spacing w:after="0"/>
              <w:rPr>
                <w:sz w:val="1"/>
                <w:szCs w:val="1"/>
                <w:color w:val="auto"/>
              </w:rPr>
            </w:pP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1.3</w:t>
            </w:r>
          </w:p>
        </w:tc>
        <w:tc>
          <w:tcPr>
            <w:tcW w:w="0" w:type="dxa"/>
            <w:vAlign w:val="bottom"/>
          </w:tcPr>
          <w:p>
            <w:pPr>
              <w:spacing w:after="0"/>
              <w:rPr>
                <w:sz w:val="1"/>
                <w:szCs w:val="1"/>
                <w:color w:val="auto"/>
              </w:rPr>
            </w:pPr>
          </w:p>
        </w:tc>
      </w:tr>
      <w:tr>
        <w:trPr>
          <w:trHeight w:val="237"/>
        </w:trPr>
        <w:tc>
          <w:tcPr>
            <w:tcW w:w="9600" w:type="dxa"/>
            <w:vAlign w:val="bottom"/>
          </w:tcPr>
          <w:p>
            <w:pPr>
              <w:spacing w:after="0"/>
              <w:rPr>
                <w:sz w:val="20"/>
                <w:szCs w:val="20"/>
                <w:color w:val="auto"/>
              </w:rPr>
            </w:pPr>
          </w:p>
        </w:tc>
        <w:tc>
          <w:tcPr>
            <w:tcW w:w="18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(3.9)%</w:t>
            </w:r>
          </w:p>
        </w:tc>
        <w:tc>
          <w:tcPr>
            <w:tcW w:w="0" w:type="dxa"/>
            <w:vAlign w:val="bottom"/>
          </w:tcPr>
          <w:p>
            <w:pPr>
              <w:spacing w:after="0"/>
              <w:rPr>
                <w:sz w:val="1"/>
                <w:szCs w:val="1"/>
                <w:color w:val="auto"/>
              </w:rPr>
            </w:pPr>
          </w:p>
        </w:tc>
      </w:tr>
      <w:tr>
        <w:trPr>
          <w:trHeight w:val="27"/>
        </w:trPr>
        <w:tc>
          <w:tcPr>
            <w:tcW w:w="96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600" w:type="dxa"/>
            <w:vAlign w:val="bottom"/>
            <w:vMerge w:val="continue"/>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600" w:type="dxa"/>
            <w:vAlign w:val="bottom"/>
            <w:vMerge w:val="continue"/>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right="20" w:hanging="332"/>
        <w:spacing w:after="0" w:line="216"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0.7 from cost savings initiatives, which was more than offset by cost inflation and other factors, including higher transportation and logistics costs and higher carrot costs in 2018.</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36"/>
        </w:numPr>
        <w:rPr>
          <w:rFonts w:ascii="Arial" w:cs="Arial" w:eastAsia="Arial" w:hAnsi="Arial"/>
          <w:sz w:val="25"/>
          <w:szCs w:val="25"/>
          <w:color w:val="auto"/>
          <w:vertAlign w:val="superscript"/>
        </w:rPr>
      </w:pPr>
      <w:r>
        <w:rPr>
          <w:rFonts w:ascii="Arial" w:cs="Arial" w:eastAsia="Arial" w:hAnsi="Arial"/>
          <w:sz w:val="18"/>
          <w:szCs w:val="18"/>
          <w:color w:val="auto"/>
        </w:rPr>
        <w:t>Includes a negative margin impact of 0.6 from a Snyder's-Lance acquisition date fair value adjustment for inventory.</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7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Marketing and selling expenses as a percent of sales were 10.5% in 2018 compared to 11.0% in 2017. Marketing and selling were comparable in in 2018 and 2017 as the impact of acquisitions (approximately 4 percentage points) and investments in e-commerce (approximately 1 percentage point) were offset by lower advertising and consumer promotion expenses (approximately 3 percentage points) and increased benefits from cost savings initiatives (approximately 2 percentage points).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Administrative expenses as a percent of sales were 7.4% in 2018 compared to 6.6% in 2017. Administrative expenses increased 17% in 2018 from 2017. The increase was primarily due to higher costs related to cost savings initiatives (approximately 12 percentage points); the impact of acquisitions (approximately 3 percentage points); acquisition integration costs (approximately 1 percentage point); an increase in information technology costs (approximately 1 percentage point); inflation (approximately 1</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20"/>
          </w:cols>
          <w:pgMar w:left="240" w:top="1314" w:right="239" w:bottom="1440" w:gutter="0" w:footer="0" w:header="0"/>
          <w:type w:val="continuous"/>
        </w:sectPr>
      </w:pPr>
    </w:p>
    <w:bookmarkStart w:id="36" w:name="page37"/>
    <w:bookmarkEnd w:id="36"/>
    <w:p>
      <w:pPr>
        <w:spacing w:after="0" w:line="277" w:lineRule="auto"/>
        <w:rPr>
          <w:sz w:val="20"/>
          <w:szCs w:val="20"/>
          <w:color w:val="auto"/>
        </w:rPr>
      </w:pPr>
      <w:r>
        <w:rPr>
          <w:rFonts w:ascii="Arial" w:cs="Arial" w:eastAsia="Arial" w:hAnsi="Arial"/>
          <w:sz w:val="18"/>
          <w:szCs w:val="18"/>
          <w:color w:val="auto"/>
        </w:rPr>
        <w:t>percentage point); investments in long-term innovation (approximately 1 percentage point); and the impact of currency translation (approximately 1 percentage point), partially offset by lower incentive compensation (approximately 4 percentage points).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expenses in 2018 included the following:</w:t>
      </w:r>
    </w:p>
    <w:p>
      <w:pPr>
        <w:spacing w:after="0" w:line="171" w:lineRule="exact"/>
        <w:rPr>
          <w:sz w:val="20"/>
          <w:szCs w:val="20"/>
          <w:color w:val="auto"/>
        </w:rPr>
      </w:pPr>
    </w:p>
    <w:p>
      <w:pPr>
        <w:ind w:left="660" w:hanging="166"/>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non-cash impairment charges of $683 million related to the intangible assets of the deli reporting unit, the Bolthouse Farms refrigerated beverages and salad dressings reporting unit, and the Bolthouse Farms carrot and carrots ingredients reporting unit;</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$53 million of transaction costs associated with acquisition of Snyder's-Lance;</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$22 million of expense related to the settlement of a legal claim;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$14 million of gains on pension and postretirement benefit mark-to-market adjustments.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expenses in 2017 included non-cash impairment charges of $212 million on the intangible assets of the Bolthouse Farms carrot and carrots ingredients reporting unit and the Garden Fresh Gourmet reporting unit, and losses of $20 million on pension and postretirement benefit mark-to-market adjustments. The remaining change in Other expenses / (income) was primarily due to higher pension and postretirement benefit income in 2018.</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7% in 2018 from 2017.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Nine Months Ended</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4"/>
        </w:trPr>
        <w:tc>
          <w:tcPr>
            <w:tcW w:w="75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4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4"/>
                <w:szCs w:val="14"/>
                <w:b w:val="1"/>
                <w:bCs w:val="1"/>
                <w:color w:val="auto"/>
                <w:w w:val="99"/>
              </w:rPr>
              <w:t>April 30, 2017</w:t>
            </w:r>
          </w:p>
        </w:tc>
        <w:tc>
          <w:tcPr>
            <w:tcW w:w="10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48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39"/>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915</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(10)%</w:t>
            </w:r>
          </w:p>
        </w:tc>
      </w:tr>
      <w:tr>
        <w:trPr>
          <w:trHeight w:val="243"/>
        </w:trPr>
        <w:tc>
          <w:tcPr>
            <w:tcW w:w="7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48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b w:val="1"/>
                <w:bCs w:val="1"/>
                <w:color w:val="auto"/>
              </w:rPr>
              <w:t>382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1220" w:type="dxa"/>
            <w:vAlign w:val="bottom"/>
            <w:gridSpan w:val="2"/>
          </w:tcPr>
          <w:p>
            <w:pPr>
              <w:jc w:val="center"/>
              <w:ind w:left="10"/>
              <w:spacing w:after="0"/>
              <w:rPr>
                <w:sz w:val="20"/>
                <w:szCs w:val="20"/>
                <w:color w:val="auto"/>
              </w:rPr>
            </w:pPr>
            <w:r>
              <w:rPr>
                <w:rFonts w:ascii="Arial" w:cs="Arial" w:eastAsia="Arial" w:hAnsi="Arial"/>
                <w:sz w:val="18"/>
                <w:szCs w:val="18"/>
                <w:color w:val="auto"/>
                <w:w w:val="79"/>
              </w:rPr>
              <w:t>9</w:t>
            </w:r>
          </w:p>
        </w:tc>
      </w:tr>
      <w:tr>
        <w:trPr>
          <w:trHeight w:val="27"/>
        </w:trPr>
        <w:tc>
          <w:tcPr>
            <w:tcW w:w="7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4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58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1,173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1,266</w:t>
            </w:r>
          </w:p>
        </w:tc>
        <w:tc>
          <w:tcPr>
            <w:tcW w:w="10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(7)%</w:t>
            </w:r>
          </w:p>
        </w:tc>
      </w:tr>
      <w:tr>
        <w:trPr>
          <w:trHeight w:val="27"/>
        </w:trPr>
        <w:tc>
          <w:tcPr>
            <w:tcW w:w="7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70"/>
        </w:trPr>
        <w:tc>
          <w:tcPr>
            <w:tcW w:w="75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8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(59)</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CCEEFF"/>
            </w:tcBorders>
          </w:tcPr>
          <w:p>
            <w:pPr>
              <w:spacing w:after="0"/>
              <w:rPr>
                <w:sz w:val="23"/>
                <w:szCs w:val="23"/>
                <w:color w:val="auto"/>
              </w:rPr>
            </w:pPr>
          </w:p>
        </w:tc>
      </w:tr>
      <w:tr>
        <w:trPr>
          <w:trHeight w:val="269"/>
        </w:trPr>
        <w:tc>
          <w:tcPr>
            <w:tcW w:w="7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48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180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Operating earnings from Americas Simple Meals and Beverages decreased 10%. The decrease was primarily due to a lower gross profit percentage and lower sales volume, partly offset by lower marketing and selling expenses. Gross profit performance was impacted by cost inflation, including higher transportation and logistics costs, and the dilutive impact from the acquisition of Pacific Foods.</w:t>
      </w:r>
    </w:p>
    <w:p>
      <w:pPr>
        <w:spacing w:after="0" w:line="13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earnings from Global Biscuits and Snacks increased 9%. The increase was primarily due to the benefit of the acquisition of Snyder’s-Lance, higher organic sales volume and lower marketing and selling expenses, partly offset by a lower gross profit percentage, reflecting higher levels of cost inflation, particularly on butter.</w:t>
      </w:r>
    </w:p>
    <w:p>
      <w:pPr>
        <w:spacing w:after="0" w:line="12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Operating earnings from Campbell Fresh decreased from a loss of $1 million in 2017 to a loss of $36 million in 2018. The decrease was primarily due to a lower gross profit percentage, reflecting higher carrot costs attributable to the adverse impact of weather conditions on crop yields and higher supply chain costs, including lower manufacturing efficiencies and cost inflation.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Corporate in 2018 included the following:</w:t>
      </w:r>
    </w:p>
    <w:p>
      <w:pPr>
        <w:spacing w:after="0" w:line="171" w:lineRule="exact"/>
        <w:rPr>
          <w:sz w:val="20"/>
          <w:szCs w:val="20"/>
          <w:color w:val="auto"/>
        </w:rPr>
      </w:pPr>
    </w:p>
    <w:p>
      <w:pPr>
        <w:ind w:left="660" w:hanging="166"/>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non-cash impairment charges of $694 million related to the assets of the deli reporting unit, the Bolthouse Farms refrigerated beverages and salad dressings reporting unit, and the Bolthouse Farms carrot and carrots ingredients reporting unit;</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transaction and integration costs of $96 million associated with the acquisition of Snyder's-Lance;</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costs of $90 million related to the cost savings initiatives;</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$22 million of expense related to the settlement of a legal claim;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$14 million of gains on pension and postretirement benefit mark-to-market adjustments.</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4" w:right="239" w:bottom="1440" w:gutter="0" w:footer="0" w:header="0"/>
          <w:type w:val="continuous"/>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Corporate in 2017 included non-cash impairment charges of $212 million on the intangible assets of the Bolthouse Farms carrot and carrot ingredients reporting unit and the Garden Fresh Gourmet reporting unit, a $20 million loss associated with pension and postretirement benefit mark-to-market adjustments and costs of $18 million related to cost savings initiatives. Excluding these amounts, the remaining decrease in costs was primarily due to higher pension and postretirement benefit income in 2018, partially offset by higher administrative expenses.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Interest expense increased to $107 million in 2018 from $87 million in 2017. The increase in interest expense was due to higher levels of debt associated with funding the acquisitions and higher average interest rates on the debt portfolio, partially offset by a gain of $18 million on treasury rate lock contracts used to hedge the planned financing of the Snyder's-Lance acquisition.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9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Act was enacted into law on December 22, 2017, and made significant changes to corporate taxation. As a result, the following items are reflected this year:</w:t>
      </w:r>
    </w:p>
    <w:p>
      <w:pPr>
        <w:spacing w:after="0" w:line="89" w:lineRule="exact"/>
        <w:rPr>
          <w:sz w:val="20"/>
          <w:szCs w:val="20"/>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corporate rate reduction as of January 1, 2018, resulted in a blended U.S. statutory tax rate of approximately 27%;</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 resulted in a tax benefit of $179 million;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Imposition of a transition tax on unremitted foreign earnings resulted in a tax charge of $59 million.</w:t>
      </w:r>
    </w:p>
    <w:p>
      <w:pPr>
        <w:spacing w:after="0" w:line="9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amounts recorded represent provisional amounts based on our best estimates and current interpretation of the provisions of the Act and may change as additional guidance is issued. See Note 11 to the Consolidated Financial Statements for additional information.</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Tax expense decreased from $307 million in 2017 to tax benefit of $91 million in the current year.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2018 and 2017:</w:t>
      </w:r>
    </w:p>
    <w:p>
      <w:pPr>
        <w:spacing w:after="0" w:line="171" w:lineRule="exact"/>
        <w:rPr>
          <w:sz w:val="20"/>
          <w:szCs w:val="20"/>
          <w:color w:val="auto"/>
        </w:rPr>
      </w:pPr>
    </w:p>
    <w:p>
      <w:pPr>
        <w:ind w:left="660" w:hanging="16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2018, we recognized tax expense of $4 million on $14 million of pension and postretirement benefit mark-to-market gains. In 2017, we recognized a tax benefit of $7 million on $20 million of pension and postretirement benefit mark-to-market losses;</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2018, we recognized a $36 million tax benefit on $139 million of restructuring charges, implementation costs and other related costs. In 2017, we recognized a $7 million tax benefit on $18 million of restructuring charges, implementation costs and other related costs;</w:t>
      </w:r>
    </w:p>
    <w:p>
      <w:pPr>
        <w:spacing w:after="0" w:line="116"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2018, we recognized a $23 million tax benefit on $88 million of transaction and integration costs associated with the acquisition of Snyder's-Lance;</w:t>
      </w:r>
    </w:p>
    <w:p>
      <w:pPr>
        <w:spacing w:after="0" w:line="116" w:lineRule="exact"/>
        <w:rPr>
          <w:rFonts w:ascii="Arial" w:cs="Arial" w:eastAsia="Arial" w:hAnsi="Arial"/>
          <w:sz w:val="18"/>
          <w:szCs w:val="18"/>
          <w:color w:val="auto"/>
        </w:rPr>
      </w:pPr>
    </w:p>
    <w:p>
      <w:pPr>
        <w:jc w:val="both"/>
        <w:ind w:left="660" w:hanging="166"/>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2018, we recognized a $123 million tax benefit on the $694 million impairment charges on the assets of the deli reporting unit, the Bolthouse Farms refrigerated beverages and salad dressings reporting unit, and the Bolthouse Farms carrot and carrot ingredients reporting unit. In 2017, we recognized a $32 million tax benefit on the $212 million impairment charges on the intangible assets of the Bolthouse Farms carrot and carrot ingredients reporting unit and the Garden Fresh Gourmet reporting unit;</w:t>
      </w:r>
    </w:p>
    <w:p>
      <w:pPr>
        <w:spacing w:after="0" w:line="132" w:lineRule="exact"/>
        <w:rPr>
          <w:rFonts w:ascii="Arial" w:cs="Arial" w:eastAsia="Arial" w:hAnsi="Arial"/>
          <w:sz w:val="18"/>
          <w:szCs w:val="18"/>
          <w:color w:val="auto"/>
        </w:rPr>
      </w:pPr>
    </w:p>
    <w:p>
      <w:pPr>
        <w:ind w:left="660" w:hanging="166"/>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2018, we recognized a $7 million tax benefit on the $22 million of expense related to the settlement of a legal claim; and</w:t>
      </w:r>
    </w:p>
    <w:p>
      <w:pPr>
        <w:spacing w:after="0" w:line="171" w:lineRule="exact"/>
        <w:rPr>
          <w:rFonts w:ascii="Arial" w:cs="Arial" w:eastAsia="Arial" w:hAnsi="Arial"/>
          <w:sz w:val="18"/>
          <w:szCs w:val="18"/>
          <w:color w:val="auto"/>
        </w:rPr>
      </w:pPr>
    </w:p>
    <w:p>
      <w:pPr>
        <w:ind w:left="660" w:hanging="166"/>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2018, we recognized a net tax benefit of $120 million related to the enactment of the Act on the remeasurement of deferred tax assets and liabilities and transition tax on unremitted foreign earnings described above.</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After adjusting for the items above, the remaining decrease in the effective tax rate was primarily due to the ongoing benefit of the lower U.S. federal tax rate as a result of the Act, and the timing of recognizing tax expense related to the 2018 impairment charges, which will reverse in the fourth quarter of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We extended the time horizon for the initiatives from 2018 to 2020.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w:t>
      </w:r>
    </w:p>
    <w:p>
      <w:pPr>
        <w:sectPr>
          <w:pgSz w:w="11900" w:h="16838" w:orient="portrait"/>
          <w:cols w:equalWidth="0" w:num="1">
            <w:col w:w="11420"/>
          </w:cols>
          <w:pgMar w:left="240" w:top="1314" w:right="239"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314" w:right="239" w:bottom="1440" w:gutter="0" w:footer="0" w:header="0"/>
          <w:type w:val="continuous"/>
        </w:sectPr>
      </w:pPr>
    </w:p>
    <w:bookmarkStart w:id="38" w:name="page39"/>
    <w:bookmarkEnd w:id="38"/>
    <w:p>
      <w:pPr>
        <w:jc w:val="both"/>
        <w:spacing w:after="0" w:line="277" w:lineRule="auto"/>
        <w:rPr>
          <w:sz w:val="20"/>
          <w:szCs w:val="20"/>
          <w:color w:val="auto"/>
        </w:rPr>
      </w:pPr>
      <w:r>
        <w:rPr>
          <w:rFonts w:ascii="Arial" w:cs="Arial" w:eastAsia="Arial" w:hAnsi="Arial"/>
          <w:sz w:val="18"/>
          <w:szCs w:val="18"/>
          <w:color w:val="auto"/>
        </w:rPr>
        <w:t>certain applications to the latest cloud technology platform. Cost estimates for these expanded initiatives, as well as timing for certain activities, are continuing to be developed.</w:t>
      </w:r>
    </w:p>
    <w:p>
      <w:pPr>
        <w:spacing w:after="0" w:line="2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summary of the restructuring charges and charges recorded in Administrative expenses, Cost of products sold, and Marketing and selling expenses related to the initiatives is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w w:val="96"/>
              </w:rPr>
              <w:t>Three Months Ended</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Year Ended</w:t>
            </w:r>
          </w:p>
        </w:tc>
        <w:tc>
          <w:tcPr>
            <w:tcW w:w="6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18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30, 2017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April 29, 2018</w:t>
            </w:r>
          </w:p>
        </w:tc>
        <w:tc>
          <w:tcPr>
            <w:tcW w:w="1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5"/>
              </w:rPr>
              <w:t>April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2"/>
              </w:rPr>
              <w:t>July 30, 2017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gridSpan w:val="2"/>
          </w:tcPr>
          <w:p>
            <w:pPr>
              <w:jc w:val="right"/>
              <w:ind w:right="74"/>
              <w:spacing w:after="0"/>
              <w:rPr>
                <w:sz w:val="20"/>
                <w:szCs w:val="20"/>
                <w:color w:val="auto"/>
              </w:rPr>
            </w:pPr>
            <w:r>
              <w:rPr>
                <w:rFonts w:ascii="Arial" w:cs="Arial" w:eastAsia="Arial" w:hAnsi="Arial"/>
                <w:sz w:val="14"/>
                <w:szCs w:val="14"/>
                <w:b w:val="1"/>
                <w:bCs w:val="1"/>
                <w:color w:val="auto"/>
                <w:w w:val="94"/>
              </w:rPr>
              <w:t>July 31, 2016</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gridSpan w:val="3"/>
          </w:tcPr>
          <w:p>
            <w:pPr>
              <w:ind w:left="120"/>
              <w:spacing w:after="0"/>
              <w:rPr>
                <w:sz w:val="20"/>
                <w:szCs w:val="20"/>
                <w:color w:val="auto"/>
              </w:rPr>
            </w:pPr>
            <w:r>
              <w:rPr>
                <w:rFonts w:ascii="Arial" w:cs="Arial" w:eastAsia="Arial" w:hAnsi="Arial"/>
                <w:sz w:val="14"/>
                <w:szCs w:val="14"/>
                <w:b w:val="1"/>
                <w:bCs w:val="1"/>
                <w:color w:val="auto"/>
              </w:rPr>
              <w:t>August 2, 2015</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54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540" w:type="dxa"/>
            <w:vAlign w:val="bottom"/>
          </w:tcPr>
          <w:p>
            <w:pPr>
              <w:spacing w:after="0"/>
              <w:rPr>
                <w:sz w:val="21"/>
                <w:szCs w:val="21"/>
                <w:color w:val="auto"/>
              </w:rPr>
            </w:pP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740" w:type="dxa"/>
            <w:vAlign w:val="bottom"/>
            <w:tcBorders>
              <w:bottom w:val="single" w:sz="8" w:color="CCEEFF"/>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after-tax impact</w:t>
            </w:r>
          </w:p>
        </w:tc>
        <w:tc>
          <w:tcPr>
            <w:tcW w:w="540" w:type="dxa"/>
            <w:vAlign w:val="bottom"/>
            <w:tcBorders>
              <w:bottom w:val="single" w:sz="8" w:color="CCEEFF"/>
            </w:tcBorders>
            <w:shd w:val="clear" w:color="auto" w:fill="CCEEFF"/>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 share impact</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vMerge w:val="continue"/>
          </w:tcPr>
          <w:p>
            <w:pPr>
              <w:spacing w:after="0"/>
              <w:rPr>
                <w:sz w:val="19"/>
                <w:szCs w:val="19"/>
                <w:color w:val="auto"/>
              </w:rPr>
            </w:pPr>
          </w:p>
        </w:tc>
        <w:tc>
          <w:tcPr>
            <w:tcW w:w="540" w:type="dxa"/>
            <w:vAlign w:val="bottom"/>
          </w:tcPr>
          <w:p>
            <w:pPr>
              <w:jc w:val="right"/>
              <w:ind w:right="334"/>
              <w:spacing w:after="0"/>
              <w:rPr>
                <w:sz w:val="20"/>
                <w:szCs w:val="20"/>
                <w:color w:val="auto"/>
              </w:rPr>
            </w:pPr>
            <w:r>
              <w:rPr>
                <w:rFonts w:ascii="Arial" w:cs="Arial" w:eastAsia="Arial" w:hAnsi="Arial"/>
                <w:sz w:val="18"/>
                <w:szCs w:val="18"/>
                <w:b w:val="1"/>
                <w:bCs w:val="1"/>
                <w:color w:val="auto"/>
                <w:w w:val="99"/>
              </w:rPr>
              <w:t>$</w:t>
            </w:r>
          </w:p>
        </w:tc>
        <w:tc>
          <w:tcPr>
            <w:tcW w:w="640" w:type="dxa"/>
            <w:vAlign w:val="bottom"/>
          </w:tcPr>
          <w:p>
            <w:pPr>
              <w:jc w:val="right"/>
              <w:ind w:right="32"/>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34"/>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4"/>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660" w:type="dxa"/>
            <w:vAlign w:val="bottom"/>
          </w:tcPr>
          <w:p>
            <w:pPr>
              <w:jc w:val="right"/>
              <w:ind w:right="456"/>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560" w:type="dxa"/>
            <w:vAlign w:val="bottom"/>
            <w:gridSpan w:val="10"/>
          </w:tcPr>
          <w:p>
            <w:pPr>
              <w:ind w:left="340"/>
              <w:spacing w:after="0"/>
              <w:rPr>
                <w:sz w:val="20"/>
                <w:szCs w:val="20"/>
                <w:color w:val="auto"/>
              </w:rPr>
            </w:pPr>
            <w:r>
              <w:rPr>
                <w:rFonts w:ascii="Arial" w:cs="Arial" w:eastAsia="Arial" w:hAnsi="Arial"/>
                <w:sz w:val="18"/>
                <w:szCs w:val="18"/>
                <w:color w:val="auto"/>
              </w:rPr>
              <w:t>A summary of the pre-tax costs associated with the initiatives is as follows:</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7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5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20" w:type="dxa"/>
            <w:vAlign w:val="bottom"/>
            <w:gridSpan w:val="5"/>
          </w:tcPr>
          <w:p>
            <w:pPr>
              <w:ind w:left="100"/>
              <w:spacing w:after="0"/>
              <w:rPr>
                <w:sz w:val="20"/>
                <w:szCs w:val="20"/>
                <w:color w:val="auto"/>
              </w:rPr>
            </w:pPr>
            <w:r>
              <w:rPr>
                <w:rFonts w:ascii="Arial" w:cs="Arial" w:eastAsia="Arial" w:hAnsi="Arial"/>
                <w:sz w:val="14"/>
                <w:szCs w:val="14"/>
                <w:b w:val="1"/>
                <w:bCs w:val="1"/>
                <w:color w:val="auto"/>
                <w:w w:val="99"/>
              </w:rPr>
              <w:t>Recognized as of April</w:t>
            </w:r>
          </w:p>
        </w:tc>
        <w:tc>
          <w:tcPr>
            <w:tcW w:w="0" w:type="dxa"/>
            <w:vAlign w:val="bottom"/>
          </w:tcPr>
          <w:p>
            <w:pPr>
              <w:spacing w:after="0"/>
              <w:rPr>
                <w:sz w:val="1"/>
                <w:szCs w:val="1"/>
                <w:color w:val="auto"/>
              </w:rPr>
            </w:pPr>
          </w:p>
        </w:tc>
      </w:tr>
      <w:tr>
        <w:trPr>
          <w:trHeight w:val="192"/>
        </w:trPr>
        <w:tc>
          <w:tcPr>
            <w:tcW w:w="2740" w:type="dxa"/>
            <w:vAlign w:val="bottom"/>
            <w:tcBorders>
              <w:bottom w:val="single" w:sz="8" w:color="CCEEFF"/>
            </w:tcBorders>
            <w:vMerge w:val="continue"/>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9"/>
              </w:rPr>
              <w:t>29, 2018</w:t>
            </w:r>
          </w:p>
        </w:tc>
        <w:tc>
          <w:tcPr>
            <w:tcW w:w="4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5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7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280" w:type="dxa"/>
            <w:vAlign w:val="bottom"/>
            <w:gridSpan w:val="2"/>
          </w:tcPr>
          <w:p>
            <w:pPr>
              <w:ind w:left="40"/>
              <w:spacing w:after="0"/>
              <w:rPr>
                <w:sz w:val="20"/>
                <w:szCs w:val="20"/>
                <w:color w:val="auto"/>
              </w:rPr>
            </w:pPr>
            <w:r>
              <w:rPr>
                <w:rFonts w:ascii="Arial" w:cs="Arial" w:eastAsia="Arial" w:hAnsi="Arial"/>
                <w:sz w:val="18"/>
                <w:szCs w:val="18"/>
                <w:color w:val="auto"/>
                <w:w w:val="94"/>
              </w:rPr>
              <w:t>Asset impairment/accelerated depreciation</w:t>
            </w: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80" w:type="dxa"/>
            <w:vAlign w:val="bottom"/>
            <w:gridSpan w:val="2"/>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w w:val="89"/>
              </w:rPr>
              <w:t>Implementation costs and other related costs</w:t>
            </w: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740" w:type="dxa"/>
            <w:vAlign w:val="bottom"/>
          </w:tcPr>
          <w:p>
            <w:pPr>
              <w:ind w:left="40"/>
              <w:spacing w:after="0"/>
              <w:rPr>
                <w:sz w:val="20"/>
                <w:szCs w:val="20"/>
                <w:color w:val="auto"/>
              </w:rPr>
            </w:pPr>
            <w:r>
              <w:rPr>
                <w:rFonts w:ascii="Arial" w:cs="Arial" w:eastAsia="Arial" w:hAnsi="Arial"/>
                <w:sz w:val="18"/>
                <w:szCs w:val="18"/>
                <w:color w:val="auto"/>
              </w:rPr>
              <w:t>Total</w:t>
            </w: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4"/>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66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403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total estimated pre-tax costs for actions that have been identified are approximately $535 million to $580 million. This estimate will be updated as costs for the expanded initiatives are developed.</w:t>
      </w:r>
    </w:p>
    <w:p>
      <w:pPr>
        <w:spacing w:after="0" w:line="116" w:lineRule="exact"/>
        <w:rPr>
          <w:sz w:val="20"/>
          <w:szCs w:val="20"/>
          <w:color w:val="auto"/>
        </w:rPr>
      </w:pPr>
    </w:p>
    <w:p>
      <w:pPr>
        <w:jc w:val="both"/>
        <w:ind w:right="20"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to consist of the following: approximately $180 million in severance pay and benefits; approximately $90 million in asset impairment and accelerated depreciation; and approximately $265 million to $310 million in implementation costs and other related costs.We expect these pre-tax costs to be associated with our segments as follows: Americas Simple Meals and Beverages - approximately 43%; Global Biscuits and Snacks - approximately 31%; Campbell Fresh - approximately 4%; and Corporate - approximately 22%.</w:t>
      </w:r>
    </w:p>
    <w:p>
      <w:pPr>
        <w:spacing w:after="0" w:line="11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Of the aggregate $535 million to $580 million of pre-tax costs identified to date, we expect approximately $435 million to $480 million will be cash expenditures. In addition, we expect to invest approximately $250 million in capital expenditures through 2020 primarily related to the U.S. warehouse optimization project, transition of production of the Toronto manufacturing facility to our U.S. thermal plants, insourcing of manufacturing for certain simple meal products and optimization of information technology infrastructure and applications, of which we invested approximately $56 million as of April 29, 2018.</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expect to incur substantially all of the costs through 2019 and to fund the costs through cash flows from operations and short-term borrowings.</w:t>
      </w:r>
    </w:p>
    <w:p>
      <w:pPr>
        <w:spacing w:after="0" w:line="156"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expect the initiatives for actions that have been identified to date to generate pre-tax savings of $400 million to $410 million in 2018, and once all phases are implemented, to generate annual ongoing savings of approximately $500 million beginning in 2020. In the nine-month period ended April 29, 2018, we generated an additional $65 million of pre-tax savings. The annual pre-tax savings generated by the initiatives were as follows: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w:t>
            </w:r>
          </w:p>
        </w:tc>
        <w:tc>
          <w:tcPr>
            <w:tcW w:w="4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80" w:type="dxa"/>
            <w:vAlign w:val="bottom"/>
          </w:tcPr>
          <w:p>
            <w:pPr>
              <w:spacing w:after="0"/>
              <w:rPr>
                <w:sz w:val="13"/>
                <w:szCs w:val="13"/>
                <w:color w:val="auto"/>
              </w:rPr>
            </w:pPr>
          </w:p>
        </w:tc>
        <w:tc>
          <w:tcPr>
            <w:tcW w:w="96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3"/>
              </w:rPr>
              <w:t>July 30,</w:t>
            </w:r>
          </w:p>
        </w:tc>
        <w:tc>
          <w:tcPr>
            <w:tcW w:w="114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July 31, 2016</w:t>
            </w:r>
          </w:p>
        </w:tc>
        <w:tc>
          <w:tcPr>
            <w:tcW w:w="10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August 2, 2015</w:t>
            </w:r>
          </w:p>
        </w:tc>
        <w:tc>
          <w:tcPr>
            <w:tcW w:w="0" w:type="dxa"/>
            <w:vAlign w:val="bottom"/>
          </w:tcPr>
          <w:p>
            <w:pPr>
              <w:spacing w:after="0"/>
              <w:rPr>
                <w:sz w:val="1"/>
                <w:szCs w:val="1"/>
                <w:color w:val="auto"/>
              </w:rPr>
            </w:pPr>
          </w:p>
        </w:tc>
      </w:tr>
      <w:tr>
        <w:trPr>
          <w:trHeight w:val="192"/>
        </w:trPr>
        <w:tc>
          <w:tcPr>
            <w:tcW w:w="81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302"/>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215</w:t>
            </w:r>
          </w:p>
        </w:tc>
        <w:tc>
          <w:tcPr>
            <w:tcW w:w="120" w:type="dxa"/>
            <w:vAlign w:val="bottom"/>
            <w:tcBorders>
              <w:top w:val="single" w:sz="8" w:color="CCEEFF"/>
            </w:tcBorders>
            <w:shd w:val="clear" w:color="auto" w:fill="CCEEFF"/>
          </w:tcPr>
          <w:p>
            <w:pPr>
              <w:spacing w:after="0"/>
              <w:rPr>
                <w:sz w:val="21"/>
                <w:szCs w:val="21"/>
                <w:color w:val="auto"/>
              </w:rPr>
            </w:pPr>
          </w:p>
        </w:tc>
        <w:tc>
          <w:tcPr>
            <w:tcW w:w="42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8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33" w:right="239" w:bottom="1440" w:gutter="0" w:footer="0" w:header="0"/>
        </w:sect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420"/>
          </w:cols>
          <w:pgMar w:left="240" w:top="1233" w:right="239" w:bottom="1440" w:gutter="0" w:footer="0" w:header="0"/>
          <w:type w:val="continuous"/>
        </w:sectPr>
      </w:pPr>
    </w:p>
    <w:bookmarkStart w:id="39" w:name="page40"/>
    <w:bookmarkEnd w:id="39"/>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incurred to date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April 29, 2018</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3"/>
              </w:rPr>
              <w:t>Costs Incurred to</w:t>
            </w:r>
          </w:p>
        </w:tc>
        <w:tc>
          <w:tcPr>
            <w:tcW w:w="0" w:type="dxa"/>
            <w:vAlign w:val="bottom"/>
          </w:tcPr>
          <w:p>
            <w:pPr>
              <w:spacing w:after="0"/>
              <w:rPr>
                <w:sz w:val="1"/>
                <w:szCs w:val="1"/>
                <w:color w:val="auto"/>
              </w:rPr>
            </w:pPr>
          </w:p>
        </w:tc>
      </w:tr>
      <w:tr>
        <w:trPr>
          <w:trHeight w:val="192"/>
        </w:trPr>
        <w:tc>
          <w:tcPr>
            <w:tcW w:w="7080" w:type="dxa"/>
            <w:vAlign w:val="bottom"/>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55"/>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6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6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6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62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Snyder's-Lance Cost Transformation Program and Integration</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1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developing the detailed plans to implement the Snyder's-Lance cost transformation program and to achieve the cost synergies and therefore we cannot reasonably estimate the total expected pre-tax costs and timing of when we expect to incur those costs, as well as the expected future cash expenditures. We expect the pre-tax costs to be associated primarily with Global Biscuits and Snacks.</w:t>
      </w:r>
    </w:p>
    <w:p>
      <w:pPr>
        <w:spacing w:after="0" w:line="4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three-month period ended April 29, 2018, we recorded a restructuring charge of $10 million and incurred $6 million in Administrative expenses related to the integration of Snyder's-Lance.</w:t>
      </w:r>
    </w:p>
    <w:p>
      <w:pPr>
        <w:spacing w:after="0" w:line="3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the Snyder's-Lance cost transformation program and integration to generate annual ongoing savings of approximately $295 million beginning in 2022.</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Segment operating results do not include restructuring charges, nor implementation and integration costs because we evaluate segment performance excluding such charges. The pre-tax costs of $16 million incurred in the three-month period ended April 29, 2018 were associated with the Global Biscuits and Snacks segment.</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these sources will be adequate to meet our future requirements.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$1.024 billion in 2018, compared to $1.011 billion in 2017. The increase in 2018 reflects higher cash earnings benefiting from reduced taxes, partly offset by an increase in working capital requirements.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$1.074 billion as of April 29, 2018, and $495 million as of July 30, 2017. Debt maturing within one year was $1.763 billion as of April 29, 2018, and $1.037 billion as of July 30, 2017.</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Capital expenditures were $223 million in 2018 compared to $195 million in 2017. Capital expenditures are expected to total approximately $440 million in 2018. Capital expenditures in 2018 included a U.S. warehouse optimization project (approximately $24 million); insourcing manufacturing for certain simple meal products (approximately $11 million); replacement of a Pepperidge Farm refrigeration system (approximately $6 million); and an Australian multi-pack biscuit capacity expansion project (approximately $2 million).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December 12, 2017, we completed the acquisition of Pacific Foods. The purchase price was $689 million, subject to customary post-closing adjustments, and was funded through the issuance of commercial paper.</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Total consideration was $6.112 billion, which included the payoff of approximately $1.1 billion of Snyder's-Lance indebtedness. We borrowed $900 million under a single draw 3-year senior unsecured term loan facility on March 26, 2018, and issued $5.3 billion senior notes on March 16, 2018, to finance the acquisition. The interest rate on the senior unsecured term loan facility resets in one, two, three, or six-month periods dependent</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314" w:right="239" w:bottom="1440" w:gutter="0" w:footer="0" w:header="0"/>
          <w:type w:val="continuous"/>
        </w:sectPr>
      </w:pPr>
    </w:p>
    <w:bookmarkStart w:id="40" w:name="page41"/>
    <w:bookmarkEnd w:id="40"/>
    <w:p>
      <w:pPr>
        <w:jc w:val="both"/>
        <w:spacing w:after="0" w:line="264" w:lineRule="auto"/>
        <w:rPr>
          <w:sz w:val="20"/>
          <w:szCs w:val="20"/>
          <w:color w:val="auto"/>
        </w:rPr>
      </w:pPr>
      <w:r>
        <w:rPr>
          <w:rFonts w:ascii="Arial" w:cs="Arial" w:eastAsia="Arial" w:hAnsi="Arial"/>
          <w:sz w:val="18"/>
          <w:szCs w:val="18"/>
          <w:color w:val="auto"/>
        </w:rPr>
        <w:t>upon our election. Interest on the senior unsecured term loan facility is due upon the earlier of an interest reset or quarterly and the first interest payment is due in June 2018. The senior unsecured term loan facility may be prepaid at par at any time. The senior unsecured term loan facility contains customary covenants and events of default for credit facilities of this type.</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$5.3 billion senior notes were issued in various tenors in both fixed and floating rate formats. We issued 2 and 3-year floating rate senior notes in the amount of $500 million and $400 million, respectively. We issued 3, 5, 7, 10, and 30-year fixed rate senior notes in the amount of $650 million, $1.2 billion, $850 million, $1 billion, and $700 million, respectively. Interest on the 2-year floating rate senior notes is due quarterly on March 16, June 16, September 16, and December 16, commencing on June 16, 2018. Interest on the 3-year floating rate senior notes is due quarterly on March 15, June 15, September 15, and December 15, commencing on June 15, 2018. Interest on the fixed rate senior notes is due semi-annually on March 15 and September 15, commencing on September 15, 2018. The fixed rate senior notes may be redeemed, in whole or in part, at our option at any time at the applicable redemption price. If change of control triggering events occur, we will be required to offer to purchase the senior notes at a purchase price equal to 101% of the principal amount plus accrued and unpaid interest, if any, to the purchase date. The senior notes were issued under a shelf registration statement that we filed with the Securities and Exchange Commission in July 2017. We registered an indeterminate amount of debt securities. Under the registration statement, we may issue debt securities from time to time, depending on market conditions.</w:t>
      </w:r>
    </w:p>
    <w:p>
      <w:pPr>
        <w:spacing w:after="0" w:line="12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Dividend payments were $321 million in 2018 and $314 million in 2017. We repurchased approximately 2 million shares at a cost of $86 million in 2018 and approximately 5 million shares at a cost of $305 million in 2017. As a result of the acquisition of Snyder's-Lance, we suspended our share repurchases as of the second quarter of 2018. See Note 16 to the Consolidated Financial Statements for additional information.</w:t>
      </w:r>
    </w:p>
    <w:p>
      <w:pPr>
        <w:spacing w:after="0" w:line="11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As of April 29, 2018, we had $1.763 billion of short-term borrowings due within one year, of which $1.098 billion was comprised of commercial paper borrowings. As of April 29, 2018, we issued $59 million of standby letters of credit. We have a committed revolving credit facility totaling $1.85 billion that matures in December 2021. This U.S. facility remained unused at April 29, 2018, except for $1 million of standby letters of credit that we issued under it. The U.S. facility supports our commercial paper programs and other general corporate purposes.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July 2016, we entered into a Canadian committed revolving credit facility that matures in July 2019. As of April 29, 2018, the total commitment under the Canadian facility was CAD $125 million, or $97 million, and we had borrowings of CAD $107 million, or $83 million, at a rate of 2.99% under this facility. The Canadian facility supports general corporate purposes.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30, 2017 (2017 Annual Report on Form 10-K). The accounting policies we used in preparing these financial statements are substantially consistent with those we applied in our 2017 Annual Report on Form 10-K, with the exception of the adoption of new guidance that changes the presentation of net periodic pension cost and net periodic postretirement benefit cost as described in Note 2 to the Consolidated Financial Statements. The following areas all require the use of subjective or complex judgments, estimates and assumptions: trade and consumer promotion programs; the valuation of long-lived assets; pension and postretirement benefits; and income taxes. Our significant accounting estimates are described in Management’s Discussion and Analysis included in the 2017 Annual Report on Form 10-K.</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b w:val="1"/>
          <w:bCs w:val="1"/>
          <w:i w:val="1"/>
          <w:iCs w:val="1"/>
          <w:color w:val="auto"/>
        </w:rPr>
        <w:t xml:space="preserve">Valuation of Long-lived Assets </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valuation of long-lived assets is an area that requires the use of subjective or complex judgments, estimates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assumptions. Goodwill and intangible assets deemed to have indefinite lives are not amortized but rather are tested at least annually for impairment, or more often if events or changes in circumstances indicate that more likely than not the carrying amount of the asset may not be recoverable.</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Interim Assessment - Second Quarter of 2017</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second quarter of 2017, sales and operating profit performance for Bolthouse Farms carrot and carrot ingredients were well below our expectations due to difficulty with regaining market share lost during 2016 and higher carrot costs from the adverse impact of heavy rains on crop yields. During the quarter, we also lowered our forecast for sales and earnings for the reporting unit for the second half of 2017 based on revised market share recovery expectations and the continuing effect of unusual weather conditions on carrot costs. In addition, as part of a strategic review initiated by a new leadership team of Campbell Fresh during the second quarter, we decided to reduce emphasis on growing sales of carrot ingredients, which are a by-product of the manufacturing process, and to manage carrots sold at retail for modest sales growth consistent with the category while improving profitability. Accordingly, we reduced our expectations for recovery of retail carrot market share. As a consequence of current-</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314" w:right="239" w:bottom="1440" w:gutter="0" w:footer="0" w:header="0"/>
        </w:sectPr>
      </w:pPr>
    </w:p>
    <w:bookmarkStart w:id="41" w:name="page42"/>
    <w:bookmarkEnd w:id="41"/>
    <w:p>
      <w:pPr>
        <w:jc w:val="both"/>
        <w:spacing w:after="0" w:line="279" w:lineRule="auto"/>
        <w:rPr>
          <w:sz w:val="20"/>
          <w:szCs w:val="20"/>
          <w:color w:val="auto"/>
        </w:rPr>
      </w:pPr>
      <w:r>
        <w:rPr>
          <w:rFonts w:ascii="Arial" w:cs="Arial" w:eastAsia="Arial" w:hAnsi="Arial"/>
          <w:sz w:val="17"/>
          <w:szCs w:val="17"/>
          <w:color w:val="auto"/>
        </w:rPr>
        <w:t>year performance and the strategic review, we lowered our sales outlook for future fiscal years.We also lowered our average margin expectations due in part to cost volatility, which had been higher than expected. Based upon the business performance in the second quarter of 2017, our reduced near-term outlook, and reduced expectations for sales, operating margins and discounted cash flows, we performed an interim impairment assessment in the second quarter, which resulted in a $127 million impairment charge on goodwill and $20 million on a trademark in the reporting unit.</w:t>
      </w:r>
    </w:p>
    <w:p>
      <w:pPr>
        <w:spacing w:after="0" w:line="11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We acquired Garden Fresh Gourmet on June 29, 2015. During 2017, sales and operating profit performance for Garden Fresh Gourmet, which is a reporting unit within the Campbell Fresh segment, were well below expectations, and we lowered our outlook for the second half of 2017 due to customer losses and failure to meet product distribution goals. We expected to expand distribution of salsa beyond our concentration in the Midwest region, however this proved to be challenging as differentiated recipes are required to meet taste profiles in other parts of the country. In addition, as part of a strategic review initiated by a new leadership team of Campbell Fresh during the second quarter, we lowered our distribution and category growth expectations and, therefore, future sales outlook. Based upon the business performance in 2017, our reduced near-term outlook, and reduced expectations for sales, operating margins and discounted cash flows, we performed an interim impairment assessment in the second quarter, which resulted in a $64 million impairment charge on goodwill and $1 million on a trademark in the reporting unit.</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Interim Assessments - Second Quarter of 2018</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second quarter of 2018, we performed an interim impairment assessment on the intangible assets of the Bolthouse Farms carrot and carrot ingredients reporting unit as operating performance was below expectations. The business was impacted by adverse weather conditions and the implementation of enhanced quality protocols, which impacted crop yields and resulted in higher costs. This cost volatility continued to be higher than expected and caused us to reassess our short- and long-term margin expectations for this business. Based on this performance, we reduced our outlook for future operating margins and discounted cash flows, which resulted in a $75 million impairment charge, representing a write-down of the remaining goodwill in the reporting unit. The fair value of the trademark exceeded the carrying value, which was $48 million. We will continue to monitor the performance of the business.</w:t>
      </w:r>
    </w:p>
    <w:p>
      <w:pPr>
        <w:spacing w:after="0" w:line="13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acquired Plum on June 13, 2013. The business is a reporting unit within Americas Simple Meals and Beverages segment. In 2018, sales and operating performance were well below expectations due in part to competitive pressure and reduced margins. Based on the recent performance, in the second quarter of 2018 we reduced our outlook for future sales, operating margins and discounted cash flows and performed an interim impairment assessment. As of the interim assessment, the fair value of the trademark exceeded the carrying value by approximately 15%, and the fair value of the reporting unit exceeded the carrying value by less than 10%. The carrying value of the trademark was $115 million and the carrying value of goodwill was $128 million. We will continue to invest in innovation on this business. We are focused on improving profitability by pursuing various supply chain initiatives. We will continue to monitor the performance of the business. Beginning in the third quarter of 2018, based on changes in the manner in which the Americas Simple Meals and Beverages segment is managed under new leadership, Plum is no longer a stand alone reporting unit, but rather is combined within a unit in the segment.</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Interim Assessment - Third Quarter of 2018</w:t>
      </w:r>
    </w:p>
    <w:p>
      <w:pPr>
        <w:spacing w:after="0" w:line="171"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During the third quarter of 2018, we performed an interim impairment assessment on the intangible assets of the deli reporting unit, which includes Garden Fresh Gourmet and the U.S. refrigerated soup business within Campbell Fresh. During the third quarter of 2018, certain of our private label refrigerated soup customers, which represent a majority of the business, informed us of their intention to in-source production beginning in 2019, and the sales and operating profit outlook of the Garden Fresh Gourmet business was reduced. Due to the anticipated loss of refrigerated soup business with these customers, as well as the recent performance of the Garden Fresh Gourmet business, we revised the long-term outlook for future sales, operating margins and discounted cash flows for this reporting unit, which resulted in an $81 million impairment charge on goodwill, representing a write-down of the remaining goodwill in the reporting unit, $13 million on a trademark, and $11 million on plant assets in the reporting unit.</w:t>
      </w:r>
    </w:p>
    <w:p>
      <w:pPr>
        <w:spacing w:after="0" w:line="12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we performed an interim impairment assessment on the intangible assets of the Bolthouse Farms refrigerated beverages and salad dressings reporting unit as the operating performance in the third quarter was below expectations. We assessed sales performance of refrigerated beverages and key drivers impacting gross profit for the unit. We revised our long-term outlook for future earnings and discounted cash flows to reflect reduced sales expectations to modest growth and decreased our gross profit outlook to reflect the inflation and manufacturing efficiency pressures that remain with the unit. This revised outlook resulted in a $384 million impairment charge on goodwill, representing a write-down of the remaining goodwill in the reporting unit, and $150 million on a trademark in the reporting unit.</w:t>
      </w:r>
    </w:p>
    <w:p>
      <w:pPr>
        <w:spacing w:after="0" w:line="200" w:lineRule="exact"/>
        <w:rPr>
          <w:sz w:val="20"/>
          <w:szCs w:val="20"/>
          <w:color w:val="auto"/>
        </w:rPr>
      </w:pPr>
    </w:p>
    <w:p>
      <w:pPr>
        <w:spacing w:after="0" w:line="31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estimates of future cash flows involve considerable management judgment and are based upon assumptions about expected future operating performance, economic conditions, market conditions, and cost of capital. Inherent in estimating the future cash flows are uncertainties beyond our control, such as changes in capital markets. The actual cash flows could differ materially from management’s estimates due to changes in business conditions, operating performance, and economic conditions.</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14" w:right="239" w:bottom="1440" w:gutter="0" w:footer="0" w:header="0"/>
        </w:sectPr>
      </w:pPr>
    </w:p>
    <w:bookmarkStart w:id="42" w:name="page43"/>
    <w:bookmarkEnd w:id="42"/>
    <w:p>
      <w:pPr>
        <w:jc w:val="both"/>
        <w:ind w:right="20" w:firstLine="324"/>
        <w:spacing w:after="0" w:line="277" w:lineRule="auto"/>
        <w:rPr>
          <w:sz w:val="20"/>
          <w:szCs w:val="20"/>
          <w:color w:val="auto"/>
        </w:rPr>
      </w:pPr>
      <w:r>
        <w:rPr>
          <w:rFonts w:ascii="Arial" w:cs="Arial" w:eastAsia="Arial" w:hAnsi="Arial"/>
          <w:sz w:val="18"/>
          <w:szCs w:val="18"/>
          <w:color w:val="auto"/>
        </w:rPr>
        <w:t>As of April 29, 2018, the carrying value of goodwill was $4.608 billion. If assumptions are not achieved or market conditions decline, potential impairment charges could result.</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April 29, 2018, the carrying value of indefinite-lived trademarks was $3.2 billion. Holding all other assumptions used in the 2018 interim fair value measurement constant, changes in the weighted-average cost of capital assumption would reduce fair value of the trademarks and result in impairment charges of approximately:</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640" w:type="dxa"/>
            <w:vAlign w:val="bottom"/>
            <w:gridSpan w:val="4"/>
            <w:vMerge w:val="restart"/>
          </w:tcPr>
          <w:p>
            <w:pPr>
              <w:jc w:val="center"/>
              <w:ind w:right="400"/>
              <w:spacing w:after="0"/>
              <w:rPr>
                <w:sz w:val="20"/>
                <w:szCs w:val="20"/>
                <w:color w:val="auto"/>
              </w:rPr>
            </w:pPr>
            <w:r>
              <w:rPr>
                <w:rFonts w:ascii="Arial" w:cs="Arial" w:eastAsia="Arial" w:hAnsi="Arial"/>
                <w:sz w:val="14"/>
                <w:szCs w:val="14"/>
                <w:b w:val="1"/>
                <w:bCs w:val="1"/>
                <w:color w:val="auto"/>
                <w:w w:val="90"/>
              </w:rPr>
              <w:t>Bolthouse Farms</w:t>
            </w: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Bolthouse Farms</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640" w:type="dxa"/>
            <w:vAlign w:val="bottom"/>
            <w:gridSpan w:val="4"/>
            <w:vMerge w:val="continue"/>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5"/>
              </w:rPr>
              <w:t>refrigerated</w:t>
            </w:r>
          </w:p>
        </w:tc>
        <w:tc>
          <w:tcPr>
            <w:tcW w:w="0" w:type="dxa"/>
            <w:vAlign w:val="bottom"/>
          </w:tcPr>
          <w:p>
            <w:pPr>
              <w:spacing w:after="0"/>
              <w:rPr>
                <w:sz w:val="1"/>
                <w:szCs w:val="1"/>
                <w:color w:val="auto"/>
              </w:rPr>
            </w:pPr>
          </w:p>
        </w:tc>
      </w:tr>
      <w:tr>
        <w:trPr>
          <w:trHeight w:val="149"/>
        </w:trPr>
        <w:tc>
          <w:tcPr>
            <w:tcW w:w="6080" w:type="dxa"/>
            <w:vAlign w:val="bottom"/>
          </w:tcPr>
          <w:p>
            <w:pPr>
              <w:spacing w:after="0"/>
              <w:rPr>
                <w:sz w:val="12"/>
                <w:szCs w:val="12"/>
                <w:color w:val="auto"/>
              </w:rPr>
            </w:pPr>
          </w:p>
        </w:tc>
        <w:tc>
          <w:tcPr>
            <w:tcW w:w="164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6"/>
              </w:rPr>
              <w:t>carrot and carrot</w:t>
            </w: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94"/>
              </w:rPr>
              <w:t>Garden Fresh</w:t>
            </w:r>
          </w:p>
        </w:tc>
        <w:tc>
          <w:tcPr>
            <w:tcW w:w="200" w:type="dxa"/>
            <w:vAlign w:val="bottom"/>
          </w:tcPr>
          <w:p>
            <w:pPr>
              <w:spacing w:after="0"/>
              <w:rPr>
                <w:sz w:val="12"/>
                <w:szCs w:val="12"/>
                <w:color w:val="auto"/>
              </w:rPr>
            </w:pPr>
          </w:p>
        </w:tc>
        <w:tc>
          <w:tcPr>
            <w:tcW w:w="11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7"/>
              </w:rPr>
              <w:t>beverages and</w:t>
            </w:r>
          </w:p>
        </w:tc>
        <w:tc>
          <w:tcPr>
            <w:tcW w:w="0" w:type="dxa"/>
            <w:vAlign w:val="bottom"/>
          </w:tcPr>
          <w:p>
            <w:pPr>
              <w:spacing w:after="0"/>
              <w:rPr>
                <w:sz w:val="1"/>
                <w:szCs w:val="1"/>
                <w:color w:val="auto"/>
              </w:rPr>
            </w:pPr>
          </w:p>
        </w:tc>
      </w:tr>
      <w:tr>
        <w:trPr>
          <w:trHeight w:val="81"/>
        </w:trPr>
        <w:tc>
          <w:tcPr>
            <w:tcW w:w="6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40" w:type="dxa"/>
            <w:vAlign w:val="bottom"/>
            <w:gridSpan w:val="3"/>
            <w:vMerge w:val="restart"/>
          </w:tcPr>
          <w:p>
            <w:pPr>
              <w:jc w:val="center"/>
              <w:ind w:right="600"/>
              <w:spacing w:after="0"/>
              <w:rPr>
                <w:sz w:val="20"/>
                <w:szCs w:val="20"/>
                <w:color w:val="auto"/>
              </w:rPr>
            </w:pPr>
            <w:r>
              <w:rPr>
                <w:rFonts w:ascii="Arial" w:cs="Arial" w:eastAsia="Arial" w:hAnsi="Arial"/>
                <w:sz w:val="14"/>
                <w:szCs w:val="14"/>
                <w:b w:val="1"/>
                <w:bCs w:val="1"/>
                <w:color w:val="auto"/>
                <w:w w:val="90"/>
              </w:rPr>
              <w:t>ingredients</w:t>
            </w: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vMerge w:val="restart"/>
          </w:tcPr>
          <w:p>
            <w:pPr>
              <w:jc w:val="center"/>
              <w:ind w:right="44"/>
              <w:spacing w:after="0"/>
              <w:rPr>
                <w:sz w:val="20"/>
                <w:szCs w:val="20"/>
                <w:color w:val="auto"/>
              </w:rPr>
            </w:pPr>
            <w:r>
              <w:rPr>
                <w:rFonts w:ascii="Arial" w:cs="Arial" w:eastAsia="Arial" w:hAnsi="Arial"/>
                <w:sz w:val="14"/>
                <w:szCs w:val="14"/>
                <w:b w:val="1"/>
                <w:bCs w:val="1"/>
                <w:color w:val="auto"/>
                <w:w w:val="86"/>
              </w:rPr>
              <w:t>salad dressings</w:t>
            </w:r>
          </w:p>
        </w:tc>
        <w:tc>
          <w:tcPr>
            <w:tcW w:w="0" w:type="dxa"/>
            <w:vAlign w:val="bottom"/>
          </w:tcPr>
          <w:p>
            <w:pPr>
              <w:spacing w:after="0"/>
              <w:rPr>
                <w:sz w:val="1"/>
                <w:szCs w:val="1"/>
                <w:color w:val="auto"/>
              </w:rPr>
            </w:pPr>
          </w:p>
        </w:tc>
      </w:tr>
      <w:tr>
        <w:trPr>
          <w:trHeight w:val="105"/>
        </w:trPr>
        <w:tc>
          <w:tcPr>
            <w:tcW w:w="60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9"/>
                <w:szCs w:val="9"/>
                <w:color w:val="auto"/>
              </w:rPr>
            </w:pPr>
          </w:p>
        </w:tc>
        <w:tc>
          <w:tcPr>
            <w:tcW w:w="1440" w:type="dxa"/>
            <w:vAlign w:val="bottom"/>
            <w:gridSpan w:val="3"/>
            <w:vMerge w:val="continue"/>
          </w:tcPr>
          <w:p>
            <w:pPr>
              <w:spacing w:after="0"/>
              <w:rPr>
                <w:sz w:val="9"/>
                <w:szCs w:val="9"/>
                <w:color w:val="auto"/>
              </w:rPr>
            </w:pPr>
          </w:p>
        </w:tc>
        <w:tc>
          <w:tcPr>
            <w:tcW w:w="102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Plum</w:t>
            </w:r>
          </w:p>
        </w:tc>
        <w:tc>
          <w:tcPr>
            <w:tcW w:w="220" w:type="dxa"/>
            <w:vAlign w:val="bottom"/>
          </w:tcPr>
          <w:p>
            <w:pPr>
              <w:spacing w:after="0"/>
              <w:rPr>
                <w:sz w:val="9"/>
                <w:szCs w:val="9"/>
                <w:color w:val="auto"/>
              </w:rPr>
            </w:pPr>
          </w:p>
        </w:tc>
        <w:tc>
          <w:tcPr>
            <w:tcW w:w="11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95"/>
              </w:rPr>
              <w:t>Gourmet</w:t>
            </w:r>
          </w:p>
        </w:tc>
        <w:tc>
          <w:tcPr>
            <w:tcW w:w="2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6080" w:type="dxa"/>
            <w:vAlign w:val="bottom"/>
            <w:tcBorders>
              <w:bottom w:val="single" w:sz="8" w:color="CCEEFF"/>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040" w:type="dxa"/>
            <w:vAlign w:val="bottom"/>
            <w:tcBorders>
              <w:bottom w:val="single" w:sz="8" w:color="auto"/>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140" w:type="dxa"/>
            <w:vAlign w:val="bottom"/>
            <w:tcBorders>
              <w:bottom w:val="single" w:sz="8" w:color="auto"/>
            </w:tcBorders>
            <w:vMerge w:val="continue"/>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310"/>
        </w:trPr>
        <w:tc>
          <w:tcPr>
            <w:tcW w:w="6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1% increase in the weighted-average cost of capital</w:t>
            </w:r>
          </w:p>
        </w:tc>
        <w:tc>
          <w:tcPr>
            <w:tcW w:w="20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1440" w:type="dxa"/>
            <w:vAlign w:val="bottom"/>
            <w:gridSpan w:val="3"/>
            <w:vMerge w:val="restart"/>
            <w:shd w:val="clear" w:color="auto" w:fill="CCEEFF"/>
          </w:tcPr>
          <w:p>
            <w:pPr>
              <w:ind w:left="760"/>
              <w:spacing w:after="0"/>
              <w:rPr>
                <w:sz w:val="20"/>
                <w:szCs w:val="20"/>
                <w:color w:val="auto"/>
              </w:rPr>
            </w:pPr>
            <w:r>
              <w:rPr>
                <w:rFonts w:ascii="Arial" w:cs="Arial" w:eastAsia="Arial" w:hAnsi="Arial"/>
                <w:sz w:val="18"/>
                <w:szCs w:val="18"/>
                <w:color w:val="auto"/>
              </w:rPr>
              <w:t>—   $</w:t>
            </w:r>
          </w:p>
        </w:tc>
        <w:tc>
          <w:tcPr>
            <w:tcW w:w="1020" w:type="dxa"/>
            <w:vAlign w:val="bottom"/>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(5)</w:t>
            </w:r>
          </w:p>
        </w:tc>
        <w:tc>
          <w:tcPr>
            <w:tcW w:w="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ind w:right="22"/>
              <w:spacing w:after="0"/>
              <w:rPr>
                <w:sz w:val="20"/>
                <w:szCs w:val="20"/>
                <w:color w:val="auto"/>
              </w:rPr>
            </w:pPr>
            <w:r>
              <w:rPr>
                <w:rFonts w:ascii="Arial" w:cs="Arial" w:eastAsia="Arial" w:hAnsi="Arial"/>
                <w:sz w:val="18"/>
                <w:szCs w:val="18"/>
                <w:color w:val="auto"/>
              </w:rPr>
              <w:t>(3)</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81"/>
        </w:trPr>
        <w:tc>
          <w:tcPr>
            <w:tcW w:w="6080" w:type="dxa"/>
            <w:vAlign w:val="bottom"/>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440" w:type="dxa"/>
            <w:vAlign w:val="bottom"/>
            <w:gridSpan w:val="3"/>
            <w:vMerge w:val="continue"/>
            <w:shd w:val="clear" w:color="auto" w:fill="CCEEFF"/>
          </w:tcPr>
          <w:p>
            <w:pPr>
              <w:spacing w:after="0"/>
              <w:rPr>
                <w:sz w:val="7"/>
                <w:szCs w:val="7"/>
                <w:color w:val="auto"/>
              </w:rPr>
            </w:pPr>
          </w:p>
        </w:tc>
        <w:tc>
          <w:tcPr>
            <w:tcW w:w="1020" w:type="dxa"/>
            <w:vAlign w:val="bottom"/>
            <w:vMerge w:val="continue"/>
            <w:shd w:val="clear" w:color="auto" w:fill="CCEEFF"/>
          </w:tcPr>
          <w:p>
            <w:pPr>
              <w:spacing w:after="0"/>
              <w:rPr>
                <w:sz w:val="7"/>
                <w:szCs w:val="7"/>
                <w:color w:val="auto"/>
              </w:rPr>
            </w:pPr>
          </w:p>
        </w:tc>
        <w:tc>
          <w:tcPr>
            <w:tcW w:w="220" w:type="dxa"/>
            <w:vAlign w:val="bottom"/>
            <w:vMerge w:val="continue"/>
            <w:shd w:val="clear" w:color="auto" w:fill="CCEEFF"/>
          </w:tcPr>
          <w:p>
            <w:pPr>
              <w:spacing w:after="0"/>
              <w:rPr>
                <w:sz w:val="7"/>
                <w:szCs w:val="7"/>
                <w:color w:val="auto"/>
              </w:rPr>
            </w:pPr>
          </w:p>
        </w:tc>
        <w:tc>
          <w:tcPr>
            <w:tcW w:w="1140" w:type="dxa"/>
            <w:vAlign w:val="bottom"/>
            <w:vMerge w:val="continue"/>
            <w:shd w:val="clear" w:color="auto" w:fill="CCEEFF"/>
          </w:tcPr>
          <w:p>
            <w:pPr>
              <w:spacing w:after="0"/>
              <w:rPr>
                <w:sz w:val="7"/>
                <w:szCs w:val="7"/>
                <w:color w:val="auto"/>
              </w:rPr>
            </w:pPr>
          </w:p>
        </w:tc>
        <w:tc>
          <w:tcPr>
            <w:tcW w:w="200" w:type="dxa"/>
            <w:vAlign w:val="bottom"/>
            <w:vMerge w:val="continue"/>
            <w:shd w:val="clear" w:color="auto" w:fill="CCEEFF"/>
          </w:tcPr>
          <w:p>
            <w:pPr>
              <w:spacing w:after="0"/>
              <w:rPr>
                <w:sz w:val="7"/>
                <w:szCs w:val="7"/>
                <w:color w:val="auto"/>
              </w:rPr>
            </w:pPr>
          </w:p>
        </w:tc>
        <w:tc>
          <w:tcPr>
            <w:tcW w:w="11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6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assumptions are not achieved or market conditions decline, potential impairment charges could result.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the Consolidated Financial Statements for additional information on goodwill and intangible assets.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and similar expressions. One can also identify forward-looking statements by the fact that they do not relate strictly to historical or current facts.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5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2017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ability to complete and to realize the projected benefits of acquisitions, divestitures and other business portfolio changes, including the Snyder's-Lance acquisition;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impact of non-U.S. operations, including trade restrictions, public corruption and compliance with foreign laws and regulations;</w:t>
      </w:r>
    </w:p>
    <w:p>
      <w:pPr>
        <w:sectPr>
          <w:pgSz w:w="11900" w:h="16838" w:orient="portrait"/>
          <w:cols w:equalWidth="0" w:num="1">
            <w:col w:w="11420"/>
          </w:cols>
          <w:pgMar w:left="240" w:top="1314" w:right="239" w:bottom="1054"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314" w:right="239" w:bottom="1054" w:gutter="0" w:footer="0" w:header="0"/>
          <w:type w:val="continuous"/>
        </w:sectPr>
      </w:pPr>
    </w:p>
    <w:bookmarkStart w:id="43" w:name="page44"/>
    <w:bookmarkEnd w:id="43"/>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2017 Annual Report on Form 10-K. There have been no significant changes in our portfolio of financial instruments or market risk exposures from the 2017 year-end.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Interim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April 29, 2018 (Evaluation Date). Based on such evaluation, the Interim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April 29, 2018, except as noted below.</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March 26, 2018, we completed the acquisition of Snyder's-Lance. See Note 3 to the Consolidated Financial Statements for additional information. In connection with the integration of Snyder's-Lance, we are in the process of analyzing and evaluating our internal controls over financial reporting. This process may result in additions or changes to our internal control over financial reporting.</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will exclude the Snyder's-Lance operations from the scope of our annual assessment of the effectiveness of internal control over financial reporting for the year ending July 29, 2018 in accordance with the Securities and Exchange Commission guidance. Such guidance permits management to omit an assessment of an acquired business' internal control over financial reporting from management's assessment of internal control over financial reporting for a period not to exceed one year.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14"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We previously reported four securities class action lawsuits (collectively, the Actions) related to our acquisition of Snyder's-Lance, Inc. (Snyder's-Lance) filed by purported shareholders of Snyder’s-Lance. The Actions, captioned </w:t>
      </w:r>
      <w:r>
        <w:rPr>
          <w:rFonts w:ascii="Arial" w:cs="Arial" w:eastAsia="Arial" w:hAnsi="Arial"/>
          <w:sz w:val="18"/>
          <w:szCs w:val="18"/>
          <w:i w:val="1"/>
          <w:iCs w:val="1"/>
          <w:color w:val="auto"/>
        </w:rPr>
        <w:t>Shaev v. Snyder's-Lance, Inc., et al.</w:t>
      </w:r>
      <w:r>
        <w:rPr>
          <w:rFonts w:ascii="Arial" w:cs="Arial" w:eastAsia="Arial" w:hAnsi="Arial"/>
          <w:sz w:val="18"/>
          <w:szCs w:val="18"/>
          <w:color w:val="auto"/>
        </w:rPr>
        <w:t xml:space="preserve">, No. 3:18-cv-00039, </w:t>
      </w:r>
      <w:r>
        <w:rPr>
          <w:rFonts w:ascii="Arial" w:cs="Arial" w:eastAsia="Arial" w:hAnsi="Arial"/>
          <w:sz w:val="18"/>
          <w:szCs w:val="18"/>
          <w:i w:val="1"/>
          <w:iCs w:val="1"/>
          <w:color w:val="auto"/>
        </w:rPr>
        <w:t>Sciabacucchi v. Snyder's-Lance, Inc., et al.</w:t>
      </w:r>
      <w:r>
        <w:rPr>
          <w:rFonts w:ascii="Arial" w:cs="Arial" w:eastAsia="Arial" w:hAnsi="Arial"/>
          <w:sz w:val="18"/>
          <w:szCs w:val="18"/>
          <w:color w:val="auto"/>
        </w:rPr>
        <w:t>, No. 3:18-cv-00049-RJC-DCK,</w:t>
      </w:r>
      <w:r>
        <w:rPr>
          <w:rFonts w:ascii="Arial" w:cs="Arial" w:eastAsia="Arial" w:hAnsi="Arial"/>
          <w:sz w:val="18"/>
          <w:szCs w:val="18"/>
          <w:i w:val="1"/>
          <w:iCs w:val="1"/>
          <w:color w:val="auto"/>
        </w:rPr>
        <w:t xml:space="preserve"> Kendall v. Snyder's-Lance, Inc., et al.</w:t>
      </w:r>
      <w:r>
        <w:rPr>
          <w:rFonts w:ascii="Arial" w:cs="Arial" w:eastAsia="Arial" w:hAnsi="Arial"/>
          <w:sz w:val="18"/>
          <w:szCs w:val="18"/>
          <w:color w:val="auto"/>
        </w:rPr>
        <w:t>, No. 3:18-cv-00051, and</w:t>
      </w:r>
      <w:r>
        <w:rPr>
          <w:rFonts w:ascii="Arial" w:cs="Arial" w:eastAsia="Arial" w:hAnsi="Arial"/>
          <w:sz w:val="18"/>
          <w:szCs w:val="18"/>
          <w:i w:val="1"/>
          <w:iCs w:val="1"/>
          <w:color w:val="auto"/>
        </w:rPr>
        <w:t xml:space="preserve"> Daniel v. Snyder's-Lance, Inc., et al.</w:t>
      </w:r>
      <w:r>
        <w:rPr>
          <w:rFonts w:ascii="Arial" w:cs="Arial" w:eastAsia="Arial" w:hAnsi="Arial"/>
          <w:sz w:val="18"/>
          <w:szCs w:val="18"/>
          <w:color w:val="auto"/>
        </w:rPr>
        <w:t>, No.</w:t>
      </w:r>
      <w:r>
        <w:rPr>
          <w:rFonts w:ascii="Arial" w:cs="Arial" w:eastAsia="Arial" w:hAnsi="Arial"/>
          <w:sz w:val="18"/>
          <w:szCs w:val="18"/>
          <w:i w:val="1"/>
          <w:iCs w:val="1"/>
          <w:color w:val="auto"/>
        </w:rPr>
        <w:t xml:space="preserve"> </w:t>
      </w:r>
      <w:r>
        <w:rPr>
          <w:rFonts w:ascii="Arial" w:cs="Arial" w:eastAsia="Arial" w:hAnsi="Arial"/>
          <w:sz w:val="18"/>
          <w:szCs w:val="18"/>
          <w:color w:val="auto"/>
        </w:rPr>
        <w:t>3:18-cv-00058, were filed in the United States District Court for the Western District of North Carolina. Following certain supplemental disclosures to Snyder’s-Lance’s proxy statement related to the acquisition of Snyder’s-Lance, the plaintiffs in each of the four Actions filed notices of voluntary dismissal between March 26, 2018 and April 2, 2018.</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14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following disclosure modifies the discussion of risks and uncertainties previously disclosed in our Annual Report on Form 10-K for the year ended July 30, 2017 and subsequent Securities and Exchange Commission filings. These risks and uncertainties, along with those previously disclosed, could materially adversely affect our business, financial condition and results of operations. Additional risks and uncertainties that are not presently known to us or that we deem immaterial may also impair our business operations and financial condition.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Factors related to the Snyder's-Lance Acquisition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anticipated benefits of acquiring Snyder's-Lance may not be fully realized or realized within the time frame that we expect</w:t>
      </w:r>
    </w:p>
    <w:p>
      <w:pPr>
        <w:spacing w:after="0" w:line="14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that the acquisition of Snyder's-Lance will result in various benefits including, among other things, cost savings, cost synergies, a strengthened market position and revenue opportunities. Achieving these anticipated benefits is subject to uncertainties, including whether we integrate in an efficient and effective manner, and general competitive factors in the marketplace. Integrating Snyder's-Lance will be a complex and time-consuming process that requires investment. We may experience unanticipated difficulties, delays or expenses related to the integration, including:</w:t>
      </w:r>
    </w:p>
    <w:p>
      <w:pPr>
        <w:spacing w:after="0" w:line="171" w:lineRule="exact"/>
        <w:rPr>
          <w:sz w:val="20"/>
          <w:szCs w:val="20"/>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diversion of management's attention from ongoing business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managing a larger combined business;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finalizing the integration of Snyder's-Lance's past acquisitions to the extent not yet completed;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perceived adverse changes in product offerings to consumers, whether or not these changes actually occur;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retention of key suppliers and customers of Snyder's-Lance;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attracting new business and operational relationships;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retaining and integrating key employees and maintaining employee morale.</w:t>
      </w:r>
    </w:p>
    <w:p>
      <w:pPr>
        <w:spacing w:after="0" w:line="14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plan to combine certain operations, functions, systems and processes, which we may be unsuccessful or delayed in implementing. In addition, costs for synergies and integration may be more than anticipated, and there are many factors beyond our control that could affect the total amount or timing of these expenses. Although we expect that the elimination of duplicative costs and realization of other efficiencies related to the integration of the businesses will offset incremental costs over time, any net benefit may not be achieved in the near term or at all. The failure to effectively address any of these risks, or any other risks related to the integration of the Snyder's-Lance acquisition, may adversely affect our business or financial results.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incurred substantial indebtedness to finance the acquisition of Snyder's-Lance</w:t>
      </w:r>
    </w:p>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closing of the acquisition of Snyder's-Lance and the payoff of Snyder's-Lance's indebtedness, we incurred approximately $6.2 billion of indebtedness through a combination of senior notes and a senior unsecured term loan. This substantial level of indebtedness increases our debt service obligations. It may also have other important consequences to our business, including, but not limited to:</w:t>
      </w:r>
    </w:p>
    <w:p>
      <w:pPr>
        <w:spacing w:after="0" w:line="166"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 our exposure to fluctuations in interest rates;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subjecting us to financial and other covenants, the non-compliance with which could result in an event of default;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increasing our vulnerability to, and reducing our flexibility to respond to, general adverse economic and industry conditions;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29" w:right="239" w:bottom="1440" w:gutter="0" w:footer="0" w:header="0"/>
        </w:sectPr>
      </w:pPr>
    </w:p>
    <w:bookmarkStart w:id="45" w:name="page46"/>
    <w:bookmarkEnd w:id="45"/>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including undertaking significant capital projects;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placing us at a competitive disadvantage as compared to our competitors, to the extent that they are not as highly leveraged;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restricting us from pursuing certain business opportunities, including other acquisitions.</w:t>
      </w:r>
    </w:p>
    <w:p>
      <w:pPr>
        <w:spacing w:after="0" w:line="14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addition, we regularly access the commercial paper markets for working capital needs and other general corporate purposes. Our credit ratings were downgraded following our acquisition of Snyder's-Lance, and, on May 21, 2018, Moody's Investors Service, Inc. placed our credit ratings under review for downgrade. These actions may increase our borrowing costs and adversely affect our ability to issue commercial paper. In addition, if our credit ratings are further downgraded, we may have difficulty selling additional debt securities or borrowing money in the amounts and on the terms that might be available if our credit ratings were maintained.</w:t>
      </w:r>
    </w:p>
    <w:p>
      <w:pPr>
        <w:spacing w:after="0" w:line="1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Disruptions in the commercial paper market or other effects of volatile economic conditions on the credit markets may also reduce the amount of commercial paper that we can issue and raise our borrowing costs for both short- and long-term debt offerings. There can be no assurance that we will have access to the capital markets on terms we find acceptable. Limitations on our ability to access the capital markets, a reduction in our liquidity or an increase in our borrowing costs may adversely affect our business or financial results.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Operational Risk Factors</w:t>
      </w:r>
    </w:p>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results may be adversely affected by our inability to complete or realize the projected benefits of divestitures, acquisitions and other strategic transactions</w:t>
      </w:r>
    </w:p>
    <w:p>
      <w:pPr>
        <w:spacing w:after="0" w:line="8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May 18, 2018, we announced that we are conducting a review of our strategic and operating plans and the composition of our portfolio. If that review results in targeted divestitures, our ability to meet our objectives may depend in part on our ability to identify suitable buyers, negotiate favorable financial and other contractual terms and obtain all necessary regulatory approvals on the terms expected. Potential risks of divestitures may also include the inability to separate divested businesses or business units effectively and efficiently from our existing business operations and to reduce or eliminate associated overhead costs.</w:t>
      </w:r>
    </w:p>
    <w:p>
      <w:pPr>
        <w:spacing w:after="0" w:line="10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may undertake additional acquisitions or other strategic transactions. Our ability to meet our objectives with respect to acquisitions and other strategic transactions may depend in part on our ability to identify suitable counterparties, negotiate favorable financial and other contractual terms, obtain all necessary regulatory approvals on the terms expected and complete those transactions. Potential risks also include:</w:t>
      </w:r>
    </w:p>
    <w:p>
      <w:pPr>
        <w:spacing w:after="0" w:line="166"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integrate acquired businesses into our existing operations in a timely and cost-efficient manner;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loss of key employees, suppliers and/or customers of acquired businesses;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assumption of unknown risks and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achieve anticipated benefits, including revenues or other operating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costs of acquired businesses may be greater than expected;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inability to promptly implement an effective control environment; and</w:t>
      </w:r>
    </w:p>
    <w:p>
      <w:pPr>
        <w:spacing w:after="0" w:line="90"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risks inherent in entering markets or lines of business with which we have limited or no prior experience.</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Acquisitions outside the U.S. may present added unique challenges and increase our exposure to risks associated with foreign operations, including foreign currency risks and risks associated with local regulatory regimes.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and retain the highly skilled people we need to support our business</w:t>
      </w:r>
    </w:p>
    <w:p>
      <w:pPr>
        <w:spacing w:after="0" w:line="14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depend on the skills and continued service of key personnel, including our experienced management team. In addition, our ability to achieve our strategic and operating goals depends on our ability to identify, hire, train and retain qualified individuals. We compete with other companies both within and outside of our industry for talented personnel, and we may lose key personnel or fail to attract, train and retain other talented personnel. Any such loss or failure may adversely affect our business or financial results. In addition, activities related to identifying, recruiting, hiring and integrating qualified individuals may require significant time and expense. We may not be able to locate suitable replacements for any key employees who leave, or offer employment to potential replacements on reasonable terms, each of which may adversely affect our business and financial results.</w:t>
      </w:r>
    </w:p>
    <w:p>
      <w:pPr>
        <w:spacing w:after="0" w:line="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On May 18, 2018, we announced the appointment of an Interim President and Chief Executive Officer, effective immediately. The search for and transition to a permanent President and Chief Executive Officer may result in disruptions to our business and</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ectPr>
          <w:pgSz w:w="11900" w:h="16838" w:orient="portrait"/>
          <w:cols w:equalWidth="0" w:num="1">
            <w:col w:w="11420"/>
          </w:cols>
          <w:pgMar w:left="240" w:top="1314" w:right="239" w:bottom="1440" w:gutter="0" w:footer="0" w:header="0"/>
          <w:type w:val="continuous"/>
        </w:sectPr>
      </w:pPr>
    </w:p>
    <w:bookmarkStart w:id="46" w:name="page47"/>
    <w:bookmarkEnd w:id="46"/>
    <w:p>
      <w:pPr>
        <w:jc w:val="both"/>
        <w:spacing w:after="0" w:line="264" w:lineRule="auto"/>
        <w:rPr>
          <w:sz w:val="20"/>
          <w:szCs w:val="20"/>
          <w:color w:val="auto"/>
        </w:rPr>
      </w:pPr>
      <w:r>
        <w:rPr>
          <w:rFonts w:ascii="Arial" w:cs="Arial" w:eastAsia="Arial" w:hAnsi="Arial"/>
          <w:sz w:val="18"/>
          <w:szCs w:val="18"/>
          <w:color w:val="auto"/>
        </w:rPr>
        <w:t>uncertainty among investors, employees and others concerning our future direction and performance. Any such disruptions and uncertainty, as well as the failure to successfully identify, attract or retain a permanent President and Chief Executive Officer, could have an adverse effect on our business, results of operations and 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33"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Index to Exhibits, which immediately precedes the signature page, is incorporated by reference into this Report.</w:t>
      </w:r>
    </w:p>
    <w:p>
      <w:pPr>
        <w:spacing w:after="0" w:line="11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INDEX TO EXHIBITS</w:t>
      </w:r>
    </w:p>
    <w:p>
      <w:pPr>
        <w:sectPr>
          <w:pgSz w:w="11900" w:h="16838" w:orient="portrait"/>
          <w:cols w:equalWidth="0" w:num="1">
            <w:col w:w="11380"/>
          </w:cols>
          <w:pgMar w:left="240" w:top="1310" w:right="27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4(a)</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4(b)</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4(c)</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4(d)</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4(e)</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4(f)</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4(g)</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4(h)</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10(a)</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10(b)+</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31(a)</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31(b)</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32(a)</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32(b)</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101.INS</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101.SCH</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101.CAL</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101.DEF</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101.LAB</w:t>
      </w:r>
    </w:p>
    <w:p>
      <w:pPr>
        <w:spacing w:after="0" w:line="2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367" w:lineRule="exact"/>
        <w:rPr>
          <w:sz w:val="20"/>
          <w:szCs w:val="20"/>
          <w:color w:val="auto"/>
        </w:rPr>
      </w:pPr>
    </w:p>
    <w:p>
      <w:pPr>
        <w:spacing w:after="0" w:line="308" w:lineRule="auto"/>
        <w:rPr>
          <w:rFonts w:ascii="Arial" w:cs="Arial" w:eastAsia="Arial" w:hAnsi="Arial"/>
          <w:sz w:val="17"/>
          <w:szCs w:val="17"/>
          <w:u w:val="single" w:color="auto"/>
          <w:color w:val="0000FF"/>
        </w:rPr>
      </w:pPr>
      <w:hyperlink r:id="rId10">
        <w:r>
          <w:rPr>
            <w:rFonts w:ascii="Arial" w:cs="Arial" w:eastAsia="Arial" w:hAnsi="Arial"/>
            <w:sz w:val="17"/>
            <w:szCs w:val="17"/>
            <w:u w:val="single" w:color="auto"/>
            <w:color w:val="0000FF"/>
          </w:rPr>
          <w:t>Indenture dated as of March 19, 2015, between Campbell and Wells Fargo Bank, National Association, as trustee, is incorporated by</w:t>
        </w:r>
      </w:hyperlink>
      <w:r>
        <w:rPr>
          <w:rFonts w:ascii="Arial" w:cs="Arial" w:eastAsia="Arial" w:hAnsi="Arial"/>
          <w:sz w:val="17"/>
          <w:szCs w:val="17"/>
          <w:u w:val="single" w:color="auto"/>
          <w:color w:val="0000FF"/>
        </w:rPr>
        <w:t xml:space="preserve"> </w:t>
      </w:r>
      <w:hyperlink r:id="rId10">
        <w:r>
          <w:rPr>
            <w:rFonts w:ascii="Arial" w:cs="Arial" w:eastAsia="Arial" w:hAnsi="Arial"/>
            <w:sz w:val="17"/>
            <w:szCs w:val="17"/>
            <w:u w:val="single" w:color="auto"/>
            <w:color w:val="0000FF"/>
          </w:rPr>
          <w:t>reference to Exhibit 4.1 to Campbell's Form 8-K (SEC file number 1-3822) filed with the SEC on March 19, 2015.</w:t>
        </w:r>
      </w:hyperlink>
    </w:p>
    <w:p>
      <w:pPr>
        <w:spacing w:after="0" w:line="120" w:lineRule="exact"/>
        <w:rPr>
          <w:sz w:val="20"/>
          <w:szCs w:val="20"/>
          <w:color w:val="auto"/>
        </w:rPr>
      </w:pPr>
    </w:p>
    <w:p>
      <w:pPr>
        <w:ind w:right="100"/>
        <w:spacing w:after="0" w:line="277" w:lineRule="auto"/>
        <w:rPr>
          <w:rFonts w:ascii="Arial" w:cs="Arial" w:eastAsia="Arial" w:hAnsi="Arial"/>
          <w:sz w:val="18"/>
          <w:szCs w:val="18"/>
          <w:u w:val="single" w:color="auto"/>
          <w:color w:val="0000FF"/>
        </w:rPr>
      </w:pPr>
      <w:hyperlink r:id="rId11">
        <w:r>
          <w:rPr>
            <w:rFonts w:ascii="Arial" w:cs="Arial" w:eastAsia="Arial" w:hAnsi="Arial"/>
            <w:sz w:val="18"/>
            <w:szCs w:val="18"/>
            <w:u w:val="single" w:color="auto"/>
            <w:color w:val="0000FF"/>
          </w:rPr>
          <w:t>Form of Floating Rate Note due 2020 is incorporated by reference to Exhibit 4.2.1 to Campbell's Form 8-K (SEC file number 1-3822) filed</w:t>
        </w:r>
      </w:hyperlink>
      <w:r>
        <w:rPr>
          <w:rFonts w:ascii="Arial" w:cs="Arial" w:eastAsia="Arial" w:hAnsi="Arial"/>
          <w:sz w:val="18"/>
          <w:szCs w:val="18"/>
          <w:u w:val="single" w:color="auto"/>
          <w:color w:val="0000FF"/>
        </w:rPr>
        <w:t xml:space="preserve"> </w:t>
      </w:r>
      <w:hyperlink r:id="rId11">
        <w:r>
          <w:rPr>
            <w:rFonts w:ascii="Arial" w:cs="Arial" w:eastAsia="Arial" w:hAnsi="Arial"/>
            <w:sz w:val="18"/>
            <w:szCs w:val="18"/>
            <w:u w:val="single" w:color="auto"/>
            <w:color w:val="0000FF"/>
          </w:rPr>
          <w:t>with the SEC on March 16, 2018.</w:t>
        </w:r>
      </w:hyperlink>
    </w:p>
    <w:p>
      <w:pPr>
        <w:spacing w:after="0" w:line="143" w:lineRule="exact"/>
        <w:rPr>
          <w:sz w:val="20"/>
          <w:szCs w:val="20"/>
          <w:color w:val="auto"/>
        </w:rPr>
      </w:pPr>
    </w:p>
    <w:p>
      <w:pPr>
        <w:spacing w:after="0" w:line="277" w:lineRule="auto"/>
        <w:rPr>
          <w:rFonts w:ascii="Arial" w:cs="Arial" w:eastAsia="Arial" w:hAnsi="Arial"/>
          <w:sz w:val="18"/>
          <w:szCs w:val="18"/>
          <w:u w:val="single" w:color="auto"/>
          <w:color w:val="0000FF"/>
        </w:rPr>
      </w:pPr>
      <w:hyperlink r:id="rId12">
        <w:r>
          <w:rPr>
            <w:rFonts w:ascii="Arial" w:cs="Arial" w:eastAsia="Arial" w:hAnsi="Arial"/>
            <w:sz w:val="18"/>
            <w:szCs w:val="18"/>
            <w:u w:val="single" w:color="auto"/>
            <w:color w:val="0000FF"/>
          </w:rPr>
          <w:t>Form of Floating Rate Note due 2021 is incorporated by reference to Exhibit 4.2.2 to Campbell's Form 8-K (SEC file number 1-3822) filed</w:t>
        </w:r>
      </w:hyperlink>
      <w:r>
        <w:rPr>
          <w:rFonts w:ascii="Arial" w:cs="Arial" w:eastAsia="Arial" w:hAnsi="Arial"/>
          <w:sz w:val="18"/>
          <w:szCs w:val="18"/>
          <w:u w:val="single" w:color="auto"/>
          <w:color w:val="0000FF"/>
        </w:rPr>
        <w:t xml:space="preserve"> </w:t>
      </w:r>
      <w:hyperlink r:id="rId12">
        <w:r>
          <w:rPr>
            <w:rFonts w:ascii="Arial" w:cs="Arial" w:eastAsia="Arial" w:hAnsi="Arial"/>
            <w:sz w:val="18"/>
            <w:szCs w:val="18"/>
            <w:u w:val="single" w:color="auto"/>
            <w:color w:val="0000FF"/>
          </w:rPr>
          <w:t>with the SEC on March 16, 2018.</w:t>
        </w:r>
      </w:hyperlink>
    </w:p>
    <w:p>
      <w:pPr>
        <w:spacing w:after="0" w:line="143"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13">
        <w:r>
          <w:rPr>
            <w:rFonts w:ascii="Arial" w:cs="Arial" w:eastAsia="Arial" w:hAnsi="Arial"/>
            <w:sz w:val="18"/>
            <w:szCs w:val="18"/>
            <w:u w:val="single" w:color="auto"/>
            <w:color w:val="0000FF"/>
          </w:rPr>
          <w:t>Form of 3.300% Note due 2021 is incorporated by reference to Exhibit 4.2.3 to Campbell's Form 8-K (SEC file number 1-3822) filed with</w:t>
        </w:r>
      </w:hyperlink>
      <w:r>
        <w:rPr>
          <w:rFonts w:ascii="Arial" w:cs="Arial" w:eastAsia="Arial" w:hAnsi="Arial"/>
          <w:sz w:val="18"/>
          <w:szCs w:val="18"/>
          <w:u w:val="single" w:color="auto"/>
          <w:color w:val="0000FF"/>
        </w:rPr>
        <w:t xml:space="preserve"> </w:t>
      </w:r>
      <w:hyperlink r:id="rId13">
        <w:r>
          <w:rPr>
            <w:rFonts w:ascii="Arial" w:cs="Arial" w:eastAsia="Arial" w:hAnsi="Arial"/>
            <w:sz w:val="18"/>
            <w:szCs w:val="18"/>
            <w:u w:val="single" w:color="auto"/>
            <w:color w:val="0000FF"/>
          </w:rPr>
          <w:t>the SEC on March 16, 2018.</w:t>
        </w:r>
      </w:hyperlink>
    </w:p>
    <w:p>
      <w:pPr>
        <w:spacing w:after="0" w:line="143"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14">
        <w:r>
          <w:rPr>
            <w:rFonts w:ascii="Arial" w:cs="Arial" w:eastAsia="Arial" w:hAnsi="Arial"/>
            <w:sz w:val="18"/>
            <w:szCs w:val="18"/>
            <w:u w:val="single" w:color="auto"/>
            <w:color w:val="0000FF"/>
          </w:rPr>
          <w:t>Form of 3.650% Note due 2023 is incorporated by reference to Exhibit 4.2.4 to Campbell's Form 8-K (SEC file number 1-3822) filed with</w:t>
        </w:r>
      </w:hyperlink>
      <w:r>
        <w:rPr>
          <w:rFonts w:ascii="Arial" w:cs="Arial" w:eastAsia="Arial" w:hAnsi="Arial"/>
          <w:sz w:val="18"/>
          <w:szCs w:val="18"/>
          <w:u w:val="single" w:color="auto"/>
          <w:color w:val="0000FF"/>
        </w:rPr>
        <w:t xml:space="preserve"> </w:t>
      </w:r>
      <w:hyperlink r:id="rId14">
        <w:r>
          <w:rPr>
            <w:rFonts w:ascii="Arial" w:cs="Arial" w:eastAsia="Arial" w:hAnsi="Arial"/>
            <w:sz w:val="18"/>
            <w:szCs w:val="18"/>
            <w:u w:val="single" w:color="auto"/>
            <w:color w:val="0000FF"/>
          </w:rPr>
          <w:t>the SEC on March 16, 2018.</w:t>
        </w:r>
      </w:hyperlink>
    </w:p>
    <w:p>
      <w:pPr>
        <w:spacing w:after="0" w:line="143"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15">
        <w:r>
          <w:rPr>
            <w:rFonts w:ascii="Arial" w:cs="Arial" w:eastAsia="Arial" w:hAnsi="Arial"/>
            <w:sz w:val="18"/>
            <w:szCs w:val="18"/>
            <w:u w:val="single" w:color="auto"/>
            <w:color w:val="0000FF"/>
          </w:rPr>
          <w:t>Form of 3.950% Note due 2025 is incorporated by reference to Exhibit 4.2.5 to Campbell's Form 8-K (SEC file number 1-3822) filed with</w:t>
        </w:r>
      </w:hyperlink>
      <w:r>
        <w:rPr>
          <w:rFonts w:ascii="Arial" w:cs="Arial" w:eastAsia="Arial" w:hAnsi="Arial"/>
          <w:sz w:val="18"/>
          <w:szCs w:val="18"/>
          <w:u w:val="single" w:color="auto"/>
          <w:color w:val="0000FF"/>
        </w:rPr>
        <w:t xml:space="preserve"> </w:t>
      </w:r>
      <w:hyperlink r:id="rId15">
        <w:r>
          <w:rPr>
            <w:rFonts w:ascii="Arial" w:cs="Arial" w:eastAsia="Arial" w:hAnsi="Arial"/>
            <w:sz w:val="18"/>
            <w:szCs w:val="18"/>
            <w:u w:val="single" w:color="auto"/>
            <w:color w:val="0000FF"/>
          </w:rPr>
          <w:t>the SEC on March 16, 2018.</w:t>
        </w:r>
      </w:hyperlink>
    </w:p>
    <w:p>
      <w:pPr>
        <w:spacing w:after="0" w:line="143"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16">
        <w:r>
          <w:rPr>
            <w:rFonts w:ascii="Arial" w:cs="Arial" w:eastAsia="Arial" w:hAnsi="Arial"/>
            <w:sz w:val="18"/>
            <w:szCs w:val="18"/>
            <w:u w:val="single" w:color="auto"/>
            <w:color w:val="0000FF"/>
          </w:rPr>
          <w:t>Form of 4.150% Note due 2028 is incorporated by reference to Exhibit 4.2.6 to Campbell's Form 8-K (SEC file number 1-3822) filed with</w:t>
        </w:r>
      </w:hyperlink>
      <w:r>
        <w:rPr>
          <w:rFonts w:ascii="Arial" w:cs="Arial" w:eastAsia="Arial" w:hAnsi="Arial"/>
          <w:sz w:val="18"/>
          <w:szCs w:val="18"/>
          <w:u w:val="single" w:color="auto"/>
          <w:color w:val="0000FF"/>
        </w:rPr>
        <w:t xml:space="preserve"> </w:t>
      </w:r>
      <w:hyperlink r:id="rId16">
        <w:r>
          <w:rPr>
            <w:rFonts w:ascii="Arial" w:cs="Arial" w:eastAsia="Arial" w:hAnsi="Arial"/>
            <w:sz w:val="18"/>
            <w:szCs w:val="18"/>
            <w:u w:val="single" w:color="auto"/>
            <w:color w:val="0000FF"/>
          </w:rPr>
          <w:t>the SEC on March 16, 2018.</w:t>
        </w:r>
      </w:hyperlink>
    </w:p>
    <w:p>
      <w:pPr>
        <w:spacing w:after="0" w:line="143" w:lineRule="exact"/>
        <w:rPr>
          <w:sz w:val="20"/>
          <w:szCs w:val="20"/>
          <w:color w:val="auto"/>
        </w:rPr>
      </w:pPr>
    </w:p>
    <w:p>
      <w:pPr>
        <w:ind w:right="160"/>
        <w:spacing w:after="0" w:line="277" w:lineRule="auto"/>
        <w:rPr>
          <w:rFonts w:ascii="Arial" w:cs="Arial" w:eastAsia="Arial" w:hAnsi="Arial"/>
          <w:sz w:val="18"/>
          <w:szCs w:val="18"/>
          <w:u w:val="single" w:color="auto"/>
          <w:color w:val="0000FF"/>
        </w:rPr>
      </w:pPr>
      <w:hyperlink r:id="rId17">
        <w:r>
          <w:rPr>
            <w:rFonts w:ascii="Arial" w:cs="Arial" w:eastAsia="Arial" w:hAnsi="Arial"/>
            <w:sz w:val="18"/>
            <w:szCs w:val="18"/>
            <w:u w:val="single" w:color="auto"/>
            <w:color w:val="0000FF"/>
          </w:rPr>
          <w:t>Form of 4.800% Note due 2048 is incorporated by reference to Exhibit 4.2.7 to Campbell's Form 8-K (SEC file number 1-3822) filed with</w:t>
        </w:r>
      </w:hyperlink>
      <w:r>
        <w:rPr>
          <w:rFonts w:ascii="Arial" w:cs="Arial" w:eastAsia="Arial" w:hAnsi="Arial"/>
          <w:sz w:val="18"/>
          <w:szCs w:val="18"/>
          <w:u w:val="single" w:color="auto"/>
          <w:color w:val="0000FF"/>
        </w:rPr>
        <w:t xml:space="preserve"> </w:t>
      </w:r>
      <w:hyperlink r:id="rId17">
        <w:r>
          <w:rPr>
            <w:rFonts w:ascii="Arial" w:cs="Arial" w:eastAsia="Arial" w:hAnsi="Arial"/>
            <w:sz w:val="18"/>
            <w:szCs w:val="18"/>
            <w:u w:val="single" w:color="auto"/>
            <w:color w:val="0000FF"/>
          </w:rPr>
          <w:t>the SEC on March 16, 2018.</w:t>
        </w:r>
      </w:hyperlink>
    </w:p>
    <w:p>
      <w:pPr>
        <w:spacing w:after="0" w:line="143" w:lineRule="exact"/>
        <w:rPr>
          <w:sz w:val="20"/>
          <w:szCs w:val="20"/>
          <w:color w:val="auto"/>
        </w:rPr>
      </w:pPr>
    </w:p>
    <w:p>
      <w:pPr>
        <w:ind w:right="460"/>
        <w:spacing w:after="0" w:line="308" w:lineRule="auto"/>
        <w:rPr>
          <w:rFonts w:ascii="Arial" w:cs="Arial" w:eastAsia="Arial" w:hAnsi="Arial"/>
          <w:sz w:val="17"/>
          <w:szCs w:val="17"/>
          <w:u w:val="single" w:color="auto"/>
          <w:color w:val="0000FF"/>
        </w:rPr>
      </w:pPr>
      <w:hyperlink w:anchor="page50">
        <w:r>
          <w:rPr>
            <w:rFonts w:ascii="Arial" w:cs="Arial" w:eastAsia="Arial" w:hAnsi="Arial"/>
            <w:sz w:val="17"/>
            <w:szCs w:val="17"/>
            <w:u w:val="single" w:color="auto"/>
            <w:color w:val="0000FF"/>
          </w:rPr>
          <w:t>Amendment No. 1 to Three-Year Term Loan Credit Agreement, dated March 5, 2018, by and among Campbell Soup Company, Credit</w:t>
        </w:r>
      </w:hyperlink>
      <w:r>
        <w:rPr>
          <w:rFonts w:ascii="Arial" w:cs="Arial" w:eastAsia="Arial" w:hAnsi="Arial"/>
          <w:sz w:val="17"/>
          <w:szCs w:val="17"/>
          <w:u w:val="single" w:color="auto"/>
          <w:color w:val="0000FF"/>
        </w:rPr>
        <w:t xml:space="preserve"> </w:t>
      </w:r>
      <w:hyperlink w:anchor="page50">
        <w:r>
          <w:rPr>
            <w:rFonts w:ascii="Arial" w:cs="Arial" w:eastAsia="Arial" w:hAnsi="Arial"/>
            <w:sz w:val="17"/>
            <w:szCs w:val="17"/>
            <w:u w:val="single" w:color="auto"/>
            <w:color w:val="0000FF"/>
          </w:rPr>
          <w:t>Suisse AG, Cayman Islands Branch, as administrative agent, and the other lenders named therein filed herewith.</w:t>
        </w:r>
      </w:hyperlink>
    </w:p>
    <w:p>
      <w:pPr>
        <w:spacing w:after="0" w:line="120" w:lineRule="exact"/>
        <w:rPr>
          <w:sz w:val="20"/>
          <w:szCs w:val="20"/>
          <w:color w:val="auto"/>
        </w:rPr>
      </w:pPr>
    </w:p>
    <w:p>
      <w:pPr>
        <w:ind w:right="40"/>
        <w:spacing w:after="0" w:line="277" w:lineRule="auto"/>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Severance Agreement and General Release executed April 30, 2018 by and between Mark R. Alexander and Campbell Soup Company filed</w:t>
        </w:r>
      </w:hyperlink>
      <w:r>
        <w:rPr>
          <w:rFonts w:ascii="Arial" w:cs="Arial" w:eastAsia="Arial" w:hAnsi="Arial"/>
          <w:sz w:val="18"/>
          <w:szCs w:val="18"/>
          <w:u w:val="single" w:color="auto"/>
          <w:color w:val="0000FF"/>
        </w:rPr>
        <w:t xml:space="preserve"> </w:t>
      </w:r>
      <w:hyperlink w:anchor="page69">
        <w:r>
          <w:rPr>
            <w:rFonts w:ascii="Arial" w:cs="Arial" w:eastAsia="Arial" w:hAnsi="Arial"/>
            <w:sz w:val="18"/>
            <w:szCs w:val="18"/>
            <w:u w:val="single" w:color="auto"/>
            <w:color w:val="0000FF"/>
          </w:rPr>
          <w:t>herewith.</w:t>
        </w:r>
      </w:hyperlink>
    </w:p>
    <w:p>
      <w:pPr>
        <w:spacing w:after="0" w:line="143" w:lineRule="exact"/>
        <w:rPr>
          <w:sz w:val="20"/>
          <w:szCs w:val="20"/>
          <w:color w:val="auto"/>
        </w:rPr>
      </w:pPr>
    </w:p>
    <w:p>
      <w:pPr>
        <w:spacing w:after="0"/>
        <w:rPr>
          <w:rFonts w:ascii="Arial" w:cs="Arial" w:eastAsia="Arial" w:hAnsi="Arial"/>
          <w:sz w:val="18"/>
          <w:szCs w:val="18"/>
          <w:u w:val="single" w:color="auto"/>
          <w:color w:val="0000FF"/>
        </w:rPr>
      </w:pPr>
      <w:hyperlink w:anchor="page79">
        <w:r>
          <w:rPr>
            <w:rFonts w:ascii="Arial" w:cs="Arial" w:eastAsia="Arial" w:hAnsi="Arial"/>
            <w:sz w:val="18"/>
            <w:szCs w:val="18"/>
            <w:u w:val="single" w:color="auto"/>
            <w:color w:val="0000FF"/>
          </w:rPr>
          <w:t>Certification of Keith R. McLoughlin pursuant to Rule 13a-14(a).</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80">
        <w:r>
          <w:rPr>
            <w:rFonts w:ascii="Arial" w:cs="Arial" w:eastAsia="Arial" w:hAnsi="Arial"/>
            <w:sz w:val="18"/>
            <w:szCs w:val="18"/>
            <w:u w:val="single" w:color="auto"/>
            <w:color w:val="0000FF"/>
          </w:rPr>
          <w:t>Certification of Anthony P. DiSilvestro pursuant to Rule 13a-14(a).</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81">
        <w:r>
          <w:rPr>
            <w:rFonts w:ascii="Arial" w:cs="Arial" w:eastAsia="Arial" w:hAnsi="Arial"/>
            <w:sz w:val="18"/>
            <w:szCs w:val="18"/>
            <w:u w:val="single" w:color="auto"/>
            <w:color w:val="0000FF"/>
          </w:rPr>
          <w:t>Certification of Keith R. McLoughlin pursuant to 18 U.S.C. Section 1350.</w:t>
        </w:r>
      </w:hyperlink>
    </w:p>
    <w:p>
      <w:pPr>
        <w:spacing w:after="0" w:line="198" w:lineRule="exact"/>
        <w:rPr>
          <w:sz w:val="20"/>
          <w:szCs w:val="20"/>
          <w:color w:val="auto"/>
        </w:rPr>
      </w:pPr>
    </w:p>
    <w:p>
      <w:pPr>
        <w:spacing w:after="0"/>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Certification of Anthony P. DiSilvestro pursuant to 18 U.S.C. Section 1350.</w:t>
        </w:r>
      </w:hyperlink>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Instance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Schema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Calculation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Definition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Label Linkbase Document</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XBRL Presentation Linkbase Document</w:t>
      </w:r>
    </w:p>
    <w:p>
      <w:pPr>
        <w:spacing w:after="0" w:line="200" w:lineRule="exact"/>
        <w:rPr>
          <w:sz w:val="20"/>
          <w:szCs w:val="20"/>
          <w:color w:val="auto"/>
        </w:rPr>
      </w:pPr>
    </w:p>
    <w:p>
      <w:pPr>
        <w:sectPr>
          <w:pgSz w:w="11900" w:h="16838" w:orient="portrait"/>
          <w:cols w:equalWidth="0" w:num="2">
            <w:col w:w="800" w:space="460"/>
            <w:col w:w="10120"/>
          </w:cols>
          <w:pgMar w:left="240" w:top="1310" w:right="279" w:bottom="1440" w:gutter="0" w:footer="0" w:header="0"/>
          <w:type w:val="continuous"/>
        </w:sectPr>
      </w:pP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+This exhibit is a management contract or compensatory plan or arrangement.</w:t>
      </w:r>
    </w:p>
    <w:p>
      <w:pPr>
        <w:sectPr>
          <w:pgSz w:w="11900" w:h="16838" w:orient="portrait"/>
          <w:cols w:equalWidth="0" w:num="1">
            <w:col w:w="11380"/>
          </w:cols>
          <w:pgMar w:left="240" w:top="1310"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380"/>
          </w:cols>
          <w:pgMar w:left="240" w:top="1310" w:right="279" w:bottom="1440" w:gutter="0" w:footer="0" w:header="0"/>
          <w:type w:val="continuous"/>
        </w:sectPr>
      </w:pPr>
    </w:p>
    <w:bookmarkStart w:id="48" w:name="page49"/>
    <w:bookmarkEnd w:id="4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June 5, 2018</w:t>
      </w:r>
    </w:p>
    <w:p>
      <w:pPr>
        <w:spacing w:after="0" w:line="167"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95"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29" w:right="25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10(a)</w:t>
      </w:r>
    </w:p>
    <w:p>
      <w:pPr>
        <w:spacing w:after="0" w:line="200" w:lineRule="exact"/>
        <w:rPr>
          <w:sz w:val="20"/>
          <w:szCs w:val="20"/>
          <w:color w:val="auto"/>
        </w:rPr>
      </w:pPr>
    </w:p>
    <w:p>
      <w:pPr>
        <w:spacing w:after="0" w:line="29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AMENDMENT NO. 1 TO CREDIT AGREEMENT</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AMENDMENT dated as of March 5, 2018 to the Three-Year Term Loan Credit Agreement dated as of December 29, 2017 (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Credit Agreement</w:t>
      </w:r>
      <w:r>
        <w:rPr>
          <w:rFonts w:ascii="Arial" w:cs="Arial" w:eastAsia="Arial" w:hAnsi="Arial"/>
          <w:sz w:val="18"/>
          <w:szCs w:val="18"/>
          <w:color w:val="auto"/>
        </w:rPr>
        <w:t>”) among CAMPBELL SOUP COMPANY (the “</w:t>
      </w:r>
      <w:r>
        <w:rPr>
          <w:rFonts w:ascii="Arial" w:cs="Arial" w:eastAsia="Arial" w:hAnsi="Arial"/>
          <w:sz w:val="18"/>
          <w:szCs w:val="18"/>
          <w:b w:val="1"/>
          <w:bCs w:val="1"/>
          <w:color w:val="auto"/>
        </w:rPr>
        <w:t>Borrower</w:t>
      </w:r>
      <w:r>
        <w:rPr>
          <w:rFonts w:ascii="Arial" w:cs="Arial" w:eastAsia="Arial" w:hAnsi="Arial"/>
          <w:sz w:val="18"/>
          <w:szCs w:val="18"/>
          <w:color w:val="auto"/>
        </w:rPr>
        <w:t>”), the LENDERS party thereto (the “</w:t>
      </w:r>
      <w:r>
        <w:rPr>
          <w:rFonts w:ascii="Arial" w:cs="Arial" w:eastAsia="Arial" w:hAnsi="Arial"/>
          <w:sz w:val="18"/>
          <w:szCs w:val="18"/>
          <w:b w:val="1"/>
          <w:bCs w:val="1"/>
          <w:color w:val="auto"/>
        </w:rPr>
        <w:t>Lenders</w:t>
      </w:r>
      <w:r>
        <w:rPr>
          <w:rFonts w:ascii="Arial" w:cs="Arial" w:eastAsia="Arial" w:hAnsi="Arial"/>
          <w:sz w:val="18"/>
          <w:szCs w:val="18"/>
          <w:color w:val="auto"/>
        </w:rPr>
        <w:t>”) and</w:t>
      </w:r>
    </w:p>
    <w:p>
      <w:pPr>
        <w:spacing w:after="0" w:line="23" w:lineRule="exact"/>
        <w:rPr>
          <w:sz w:val="20"/>
          <w:szCs w:val="20"/>
          <w:color w:val="auto"/>
        </w:rPr>
      </w:pPr>
    </w:p>
    <w:p>
      <w:pPr>
        <w:spacing w:after="0"/>
        <w:rPr>
          <w:sz w:val="20"/>
          <w:szCs w:val="20"/>
          <w:color w:val="auto"/>
        </w:rPr>
      </w:pPr>
      <w:r>
        <w:rPr>
          <w:rFonts w:ascii="Arial" w:cs="Arial" w:eastAsia="Arial" w:hAnsi="Arial"/>
          <w:sz w:val="20"/>
          <w:szCs w:val="20"/>
          <w:color w:val="auto"/>
        </w:rPr>
        <w:t>CREDIT SUISSE AG, CAYMAN ISLANDS BRANCH as Administrative Agent (the “</w:t>
      </w:r>
      <w:r>
        <w:rPr>
          <w:rFonts w:ascii="Arial" w:cs="Arial" w:eastAsia="Arial" w:hAnsi="Arial"/>
          <w:sz w:val="20"/>
          <w:szCs w:val="20"/>
          <w:b w:val="1"/>
          <w:bCs w:val="1"/>
          <w:color w:val="auto"/>
        </w:rPr>
        <w:t>Administrative Agent</w:t>
      </w:r>
      <w:r>
        <w:rPr>
          <w:rFonts w:ascii="Arial" w:cs="Arial" w:eastAsia="Arial" w:hAnsi="Arial"/>
          <w:sz w:val="20"/>
          <w:szCs w:val="20"/>
          <w:color w:val="auto"/>
        </w:rPr>
        <w: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 I T N E S S E T H :</w:t>
      </w:r>
    </w:p>
    <w:p>
      <w:pPr>
        <w:spacing w:after="0" w:line="222" w:lineRule="exact"/>
        <w:rPr>
          <w:sz w:val="20"/>
          <w:szCs w:val="20"/>
          <w:color w:val="auto"/>
        </w:rPr>
      </w:pPr>
    </w:p>
    <w:p>
      <w:pPr>
        <w:ind w:right="640" w:firstLine="648"/>
        <w:spacing w:after="0" w:line="260" w:lineRule="auto"/>
        <w:rPr>
          <w:sz w:val="20"/>
          <w:szCs w:val="20"/>
          <w:color w:val="auto"/>
        </w:rPr>
      </w:pPr>
      <w:r>
        <w:rPr>
          <w:rFonts w:ascii="Arial" w:cs="Arial" w:eastAsia="Arial" w:hAnsi="Arial"/>
          <w:sz w:val="20"/>
          <w:szCs w:val="20"/>
          <w:color w:val="auto"/>
        </w:rPr>
        <w:t xml:space="preserve">WHEREAS, the parties hereto desire to make certain technical modifications to the calculation of the Financial Covenant under </w:t>
      </w:r>
      <w:r>
        <w:rPr>
          <w:rFonts w:ascii="Arial" w:cs="Arial" w:eastAsia="Arial" w:hAnsi="Arial"/>
          <w:sz w:val="20"/>
          <w:szCs w:val="20"/>
          <w:u w:val="single" w:color="auto"/>
          <w:color w:val="auto"/>
        </w:rPr>
        <w:t>Section 5.09</w:t>
      </w:r>
      <w:r>
        <w:rPr>
          <w:rFonts w:ascii="Arial" w:cs="Arial" w:eastAsia="Arial" w:hAnsi="Arial"/>
          <w:sz w:val="20"/>
          <w:szCs w:val="20"/>
          <w:color w:val="auto"/>
        </w:rPr>
        <w:t xml:space="preserve"> of the Existing Credit Agreement.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NOW, THEREFORE, the parties hereto agree as follows:</w:t>
      </w:r>
    </w:p>
    <w:p>
      <w:pPr>
        <w:spacing w:after="0" w:line="216"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SECTION 1</w:t>
      </w:r>
      <w:r>
        <w:rPr>
          <w:rFonts w:ascii="Arial" w:cs="Arial" w:eastAsia="Arial" w:hAnsi="Arial"/>
          <w:sz w:val="18"/>
          <w:szCs w:val="18"/>
          <w:i w:val="1"/>
          <w:iCs w:val="1"/>
          <w:color w:val="auto"/>
        </w:rPr>
        <w:t>. Defined Terms; References.</w:t>
      </w:r>
      <w:r>
        <w:rPr>
          <w:rFonts w:ascii="Arial" w:cs="Arial" w:eastAsia="Arial" w:hAnsi="Arial"/>
          <w:sz w:val="18"/>
          <w:szCs w:val="18"/>
          <w:color w:val="auto"/>
        </w:rPr>
        <w:t xml:space="preserve"> Unless otherwise specifically defined herein, each term used herein that is defined in the Amended Credit Agreement (as defined below) has the meaning assigned to such term in the Amended Credit Agreement. Each reference in the Existing Credit Agreement to “this Agreement”, “hereof”, “hereunder”, “herein” and “hereby” and each other similar reference, and each reference in any other Loan Document to “the Credit Agreement”, “thereof”, “thereunder”, “therein” or “thereby” or any other similar reference to the Existing Credit Agreement shall, from the Amendment Effective Date, refer to the Credit Agreement as amended hereby (the “</w:t>
      </w:r>
      <w:r>
        <w:rPr>
          <w:rFonts w:ascii="Arial" w:cs="Arial" w:eastAsia="Arial" w:hAnsi="Arial"/>
          <w:sz w:val="18"/>
          <w:szCs w:val="18"/>
          <w:b w:val="1"/>
          <w:bCs w:val="1"/>
          <w:color w:val="auto"/>
        </w:rPr>
        <w:t>Amended</w:t>
      </w:r>
      <w:r>
        <w:rPr>
          <w:rFonts w:ascii="Arial" w:cs="Arial" w:eastAsia="Arial" w:hAnsi="Arial"/>
          <w:sz w:val="18"/>
          <w:szCs w:val="18"/>
          <w:color w:val="auto"/>
        </w:rPr>
        <w:t xml:space="preserve"> </w:t>
      </w:r>
      <w:r>
        <w:rPr>
          <w:rFonts w:ascii="Arial" w:cs="Arial" w:eastAsia="Arial" w:hAnsi="Arial"/>
          <w:sz w:val="18"/>
          <w:szCs w:val="18"/>
          <w:b w:val="1"/>
          <w:bCs w:val="1"/>
          <w:color w:val="auto"/>
        </w:rPr>
        <w:t>Credit Agreement</w:t>
      </w:r>
      <w:r>
        <w:rPr>
          <w:rFonts w:ascii="Arial" w:cs="Arial" w:eastAsia="Arial" w:hAnsi="Arial"/>
          <w:sz w:val="18"/>
          <w:szCs w:val="18"/>
          <w:color w:val="auto"/>
        </w:rPr>
        <w:t>”). This Amendment shall constitute a “Loan Document” for all purposes under the Amended Credit Agreement.</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SECTION 2</w:t>
      </w:r>
      <w:r>
        <w:rPr>
          <w:rFonts w:ascii="Arial" w:cs="Arial" w:eastAsia="Arial" w:hAnsi="Arial"/>
          <w:sz w:val="20"/>
          <w:szCs w:val="20"/>
          <w:i w:val="1"/>
          <w:iCs w:val="1"/>
          <w:color w:val="auto"/>
        </w:rPr>
        <w:t>. Amendments</w:t>
      </w:r>
      <w:r>
        <w:rPr>
          <w:rFonts w:ascii="Arial" w:cs="Arial" w:eastAsia="Arial" w:hAnsi="Arial"/>
          <w:sz w:val="20"/>
          <w:szCs w:val="20"/>
          <w:color w:val="auto"/>
        </w:rPr>
        <w:t>.</w:t>
      </w:r>
    </w:p>
    <w:p>
      <w:pPr>
        <w:spacing w:after="0" w:line="229" w:lineRule="exact"/>
        <w:rPr>
          <w:sz w:val="20"/>
          <w:szCs w:val="20"/>
          <w:color w:val="auto"/>
        </w:rPr>
      </w:pPr>
    </w:p>
    <w:p>
      <w:pPr>
        <w:ind w:right="900" w:firstLine="8"/>
        <w:spacing w:after="0" w:line="260" w:lineRule="auto"/>
        <w:tabs>
          <w:tab w:leader="none" w:pos="400"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Existing Credit Agreement is hereby amended by adding the following new defined terms in the appropriate alphabetical order:</w:t>
      </w:r>
    </w:p>
    <w:p>
      <w:pPr>
        <w:spacing w:after="0" w:line="170" w:lineRule="exact"/>
        <w:rPr>
          <w:rFonts w:ascii="Arial" w:cs="Arial" w:eastAsia="Arial" w:hAnsi="Arial"/>
          <w:sz w:val="20"/>
          <w:szCs w:val="20"/>
          <w:color w:val="auto"/>
        </w:rPr>
      </w:pPr>
    </w:p>
    <w:p>
      <w:pPr>
        <w:ind w:right="480" w:firstLine="648"/>
        <w:spacing w:after="0" w:line="253" w:lineRule="auto"/>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Material Acquisition</w:t>
      </w:r>
      <w:r>
        <w:rPr>
          <w:rFonts w:ascii="Arial" w:cs="Arial" w:eastAsia="Arial" w:hAnsi="Arial"/>
          <w:sz w:val="20"/>
          <w:szCs w:val="20"/>
          <w:color w:val="auto"/>
        </w:rPr>
        <w:t>” means any acquisition (including the Acquisition) of all or substantially all of the equity interest in, or property or assets of, a Person, or of assets constituting a business unit, line of business or division of a Person for an aggregate amount of consideration greater than $500,000,000.”</w:t>
      </w:r>
    </w:p>
    <w:p>
      <w:pPr>
        <w:spacing w:after="0" w:line="177" w:lineRule="exact"/>
        <w:rPr>
          <w:rFonts w:ascii="Arial" w:cs="Arial" w:eastAsia="Arial" w:hAnsi="Arial"/>
          <w:sz w:val="20"/>
          <w:szCs w:val="20"/>
          <w:color w:val="auto"/>
        </w:rPr>
      </w:pPr>
    </w:p>
    <w:p>
      <w:pPr>
        <w:ind w:right="80" w:firstLine="648"/>
        <w:spacing w:after="0" w:line="253" w:lineRule="auto"/>
        <w:rPr>
          <w:rFonts w:ascii="Arial" w:cs="Arial" w:eastAsia="Arial" w:hAnsi="Arial"/>
          <w:sz w:val="20"/>
          <w:szCs w:val="20"/>
          <w:color w:val="auto"/>
        </w:rPr>
      </w:pPr>
      <w:r>
        <w:rPr>
          <w:rFonts w:ascii="Arial" w:cs="Arial" w:eastAsia="Arial" w:hAnsi="Arial"/>
          <w:sz w:val="20"/>
          <w:szCs w:val="20"/>
          <w:color w:val="auto"/>
        </w:rPr>
        <w:t>“ “</w:t>
      </w:r>
      <w:r>
        <w:rPr>
          <w:rFonts w:ascii="Arial" w:cs="Arial" w:eastAsia="Arial" w:hAnsi="Arial"/>
          <w:sz w:val="20"/>
          <w:szCs w:val="20"/>
          <w:b w:val="1"/>
          <w:bCs w:val="1"/>
          <w:color w:val="auto"/>
        </w:rPr>
        <w:t>Material Disposition</w:t>
      </w:r>
      <w:r>
        <w:rPr>
          <w:rFonts w:ascii="Arial" w:cs="Arial" w:eastAsia="Arial" w:hAnsi="Arial"/>
          <w:sz w:val="20"/>
          <w:szCs w:val="20"/>
          <w:color w:val="auto"/>
        </w:rPr>
        <w:t>” means any disposition of all or substantially all of the equity interest in, or property or assets of, a Person, or of assets constituting a business unit, line of business or division of a Person for an aggregate amount of consideration greater than $500,000,000.”</w:t>
      </w:r>
    </w:p>
    <w:p>
      <w:pPr>
        <w:spacing w:after="0" w:line="183" w:lineRule="exact"/>
        <w:rPr>
          <w:rFonts w:ascii="Arial" w:cs="Arial" w:eastAsia="Arial" w:hAnsi="Arial"/>
          <w:sz w:val="20"/>
          <w:szCs w:val="20"/>
          <w:color w:val="auto"/>
        </w:rPr>
      </w:pPr>
    </w:p>
    <w:p>
      <w:pPr>
        <w:ind w:right="560" w:firstLine="8"/>
        <w:spacing w:after="0" w:line="260" w:lineRule="auto"/>
        <w:tabs>
          <w:tab w:leader="none" w:pos="411"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Section 1.01</w:t>
      </w:r>
      <w:r>
        <w:rPr>
          <w:rFonts w:ascii="Arial" w:cs="Arial" w:eastAsia="Arial" w:hAnsi="Arial"/>
          <w:sz w:val="20"/>
          <w:szCs w:val="20"/>
          <w:color w:val="auto"/>
        </w:rPr>
        <w:t xml:space="preserve"> of the Existing Credit Agreement is hereby amended by deleting the definition of “Consolidated Leverage Ratio” in its entirety and replacing it with the following in lieu thereof:</w:t>
      </w:r>
    </w:p>
    <w:p>
      <w:pPr>
        <w:spacing w:after="0" w:line="170" w:lineRule="exact"/>
        <w:rPr>
          <w:rFonts w:ascii="Arial" w:cs="Arial" w:eastAsia="Arial" w:hAnsi="Arial"/>
          <w:sz w:val="20"/>
          <w:szCs w:val="20"/>
          <w:color w:val="auto"/>
        </w:rPr>
      </w:pPr>
    </w:p>
    <w:p>
      <w:pPr>
        <w:ind w:right="20" w:firstLine="648"/>
        <w:spacing w:after="0" w:line="260" w:lineRule="auto"/>
        <w:rPr>
          <w:rFonts w:ascii="Arial" w:cs="Arial" w:eastAsia="Arial" w:hAnsi="Arial"/>
          <w:sz w:val="20"/>
          <w:szCs w:val="20"/>
          <w:color w:val="auto"/>
        </w:rPr>
      </w:pPr>
      <w:r>
        <w:rPr>
          <w:rFonts w:ascii="Arial" w:cs="Arial" w:eastAsia="Arial" w:hAnsi="Arial"/>
          <w:sz w:val="19"/>
          <w:szCs w:val="19"/>
          <w:color w:val="auto"/>
        </w:rPr>
        <w:t>“ “</w:t>
      </w:r>
      <w:r>
        <w:rPr>
          <w:rFonts w:ascii="Arial" w:cs="Arial" w:eastAsia="Arial" w:hAnsi="Arial"/>
          <w:sz w:val="19"/>
          <w:szCs w:val="19"/>
          <w:b w:val="1"/>
          <w:bCs w:val="1"/>
          <w:color w:val="auto"/>
        </w:rPr>
        <w:t>Consolidated Leverage Ratio</w:t>
      </w:r>
      <w:r>
        <w:rPr>
          <w:rFonts w:ascii="Arial" w:cs="Arial" w:eastAsia="Arial" w:hAnsi="Arial"/>
          <w:sz w:val="19"/>
          <w:szCs w:val="19"/>
          <w:color w:val="auto"/>
        </w:rPr>
        <w:t xml:space="preserve">” means, as of any date of determination, the ratio of (a) Consolidated Net Debt to (b) Consolidated Adjusted EBITDA for the four fiscal quarter period ended as of such date; </w:t>
      </w:r>
      <w:r>
        <w:rPr>
          <w:rFonts w:ascii="Arial" w:cs="Arial" w:eastAsia="Arial" w:hAnsi="Arial"/>
          <w:sz w:val="19"/>
          <w:szCs w:val="19"/>
          <w:i w:val="1"/>
          <w:iCs w:val="1"/>
          <w:color w:val="auto"/>
        </w:rPr>
        <w:t>provided that</w:t>
      </w:r>
      <w:r>
        <w:rPr>
          <w:rFonts w:ascii="Arial" w:cs="Arial" w:eastAsia="Arial" w:hAnsi="Arial"/>
          <w:sz w:val="19"/>
          <w:szCs w:val="19"/>
          <w:color w:val="auto"/>
        </w:rPr>
        <w:t xml:space="preserve">, for purposes of calculating Consolidated Adjusted EBITDA for any relevant four quarter period in connection with the determination of compliance with </w:t>
      </w:r>
      <w:r>
        <w:rPr>
          <w:rFonts w:ascii="Arial" w:cs="Arial" w:eastAsia="Arial" w:hAnsi="Arial"/>
          <w:sz w:val="19"/>
          <w:szCs w:val="19"/>
          <w:u w:val="single" w:color="auto"/>
          <w:color w:val="auto"/>
        </w:rPr>
        <w:t>Section 5.09</w:t>
      </w:r>
      <w:r>
        <w:rPr>
          <w:rFonts w:ascii="Arial" w:cs="Arial" w:eastAsia="Arial" w:hAnsi="Arial"/>
          <w:sz w:val="19"/>
          <w:szCs w:val="19"/>
          <w:color w:val="auto"/>
        </w:rPr>
        <w:t>, if during such four quarter period the Borrower or any of its Subsidiaries shall have consummated a Material Acquisition or a Material Disposition, Consolidated Adjusted EBITDA for such four quarter period shall be calculated after giving pro forma effect thereto as if such Material Acquisition or Material Disposition occurred on the first day of such four quarter period.”</w:t>
      </w:r>
    </w:p>
    <w:p>
      <w:pPr>
        <w:spacing w:after="0" w:line="179" w:lineRule="exact"/>
        <w:rPr>
          <w:sz w:val="20"/>
          <w:szCs w:val="20"/>
          <w:color w:val="auto"/>
        </w:rPr>
      </w:pPr>
    </w:p>
    <w:p>
      <w:pPr>
        <w:ind w:right="340" w:firstLine="648"/>
        <w:spacing w:after="0" w:line="260" w:lineRule="auto"/>
        <w:rPr>
          <w:sz w:val="20"/>
          <w:szCs w:val="20"/>
          <w:color w:val="auto"/>
        </w:rPr>
      </w:pPr>
      <w:r>
        <w:rPr>
          <w:rFonts w:ascii="Arial" w:cs="Arial" w:eastAsia="Arial" w:hAnsi="Arial"/>
          <w:sz w:val="20"/>
          <w:szCs w:val="20"/>
          <w:color w:val="auto"/>
        </w:rPr>
        <w:t>SECTION 3</w:t>
      </w:r>
      <w:r>
        <w:rPr>
          <w:rFonts w:ascii="Arial" w:cs="Arial" w:eastAsia="Arial" w:hAnsi="Arial"/>
          <w:sz w:val="20"/>
          <w:szCs w:val="20"/>
          <w:i w:val="1"/>
          <w:iCs w:val="1"/>
          <w:color w:val="auto"/>
        </w:rPr>
        <w:t>. Effectiveness of Amendment</w:t>
      </w:r>
      <w:r>
        <w:rPr>
          <w:rFonts w:ascii="Arial" w:cs="Arial" w:eastAsia="Arial" w:hAnsi="Arial"/>
          <w:sz w:val="20"/>
          <w:szCs w:val="20"/>
          <w:color w:val="auto"/>
        </w:rPr>
        <w:t>. This Amendment shall become effective and legally binding on the date hereof when the Administrative Agent shall have received from each of the Borrower and the Required</w:t>
      </w:r>
    </w:p>
    <w:p>
      <w:pPr>
        <w:sectPr>
          <w:pgSz w:w="11900" w:h="16838" w:orient="portrait"/>
          <w:cols w:equalWidth="0" w:num="1">
            <w:col w:w="11420"/>
          </w:cols>
          <w:pgMar w:left="240" w:top="580" w:right="239" w:bottom="1440" w:gutter="0" w:footer="0" w:header="0"/>
        </w:sectPr>
      </w:pPr>
    </w:p>
    <w:bookmarkStart w:id="50" w:name="page51"/>
    <w:bookmarkEnd w:id="50"/>
    <w:p>
      <w:pPr>
        <w:ind w:right="140"/>
        <w:spacing w:after="0" w:line="244" w:lineRule="auto"/>
        <w:rPr>
          <w:sz w:val="20"/>
          <w:szCs w:val="20"/>
          <w:color w:val="auto"/>
        </w:rPr>
      </w:pPr>
      <w:r>
        <w:rPr>
          <w:rFonts w:ascii="Arial" w:cs="Arial" w:eastAsia="Arial" w:hAnsi="Arial"/>
          <w:sz w:val="20"/>
          <w:szCs w:val="20"/>
          <w:color w:val="auto"/>
        </w:rPr>
        <w:t>Lenders either (i) a counterpart of this Agreement signed on behalf of such party or (ii) written evidence satisfactory to the Administrative Agent (which may include facsimile transmission or a signed signature page of this Amendment) that such party has signed a counterpart of this Amendment (the date of satisfaction of such condition precedent, the “</w:t>
      </w:r>
      <w:r>
        <w:rPr>
          <w:rFonts w:ascii="Arial" w:cs="Arial" w:eastAsia="Arial" w:hAnsi="Arial"/>
          <w:sz w:val="20"/>
          <w:szCs w:val="20"/>
          <w:b w:val="1"/>
          <w:bCs w:val="1"/>
          <w:color w:val="auto"/>
        </w:rPr>
        <w:t>Amendment Effective Date</w:t>
      </w:r>
      <w:r>
        <w:rPr>
          <w:rFonts w:ascii="Arial" w:cs="Arial" w:eastAsia="Arial" w:hAnsi="Arial"/>
          <w:sz w:val="20"/>
          <w:szCs w:val="20"/>
          <w:color w:val="auto"/>
        </w:rPr>
        <w:t>”). This Amendment shall bind each party’s successors and assigns, including any Person to whom any Lender party hereto assigns any of its interests, rights and obligations under the Existing Credit Agreement.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SECTION 4. </w:t>
      </w:r>
      <w:r>
        <w:rPr>
          <w:rFonts w:ascii="Arial" w:cs="Arial" w:eastAsia="Arial" w:hAnsi="Arial"/>
          <w:sz w:val="20"/>
          <w:szCs w:val="20"/>
          <w:i w:val="1"/>
          <w:iCs w:val="1"/>
          <w:color w:val="auto"/>
        </w:rPr>
        <w:t>Certain Consequences Of Effectiveness.</w:t>
      </w:r>
    </w:p>
    <w:p>
      <w:pPr>
        <w:spacing w:after="0" w:line="243" w:lineRule="exact"/>
        <w:rPr>
          <w:sz w:val="20"/>
          <w:szCs w:val="20"/>
          <w:color w:val="auto"/>
        </w:rPr>
      </w:pPr>
    </w:p>
    <w:p>
      <w:pPr>
        <w:ind w:right="40" w:firstLine="832"/>
        <w:spacing w:after="0" w:line="273" w:lineRule="auto"/>
        <w:tabs>
          <w:tab w:leader="none" w:pos="1483" w:val="left"/>
        </w:tabs>
        <w:numPr>
          <w:ilvl w:val="0"/>
          <w:numId w:val="51"/>
        </w:numPr>
        <w:rPr>
          <w:rFonts w:ascii="Arial" w:cs="Arial" w:eastAsia="Arial" w:hAnsi="Arial"/>
          <w:sz w:val="18"/>
          <w:szCs w:val="18"/>
          <w:color w:val="auto"/>
        </w:rPr>
      </w:pPr>
      <w:r>
        <w:rPr>
          <w:rFonts w:ascii="Arial" w:cs="Arial" w:eastAsia="Arial" w:hAnsi="Arial"/>
          <w:sz w:val="20"/>
          <w:szCs w:val="20"/>
          <w:color w:val="auto"/>
        </w:rPr>
        <w:t>Except as expressly set forth herein, this Amendment shall not by implication or otherwise limit, impair, constitute a waiver of, or otherwise affect the rights and remedies of the Lenders, the Administrative Agent or any other party under the Existing Credit Agreement or any other Loan Document, and shall not alter, modify, amend or in any way affect any of the terms, conditions, obligations, covenants or agreements contained in the Existing Credit Agreement or any other Loan Document, all of which are ratified and affirmed in all respects and shall continue in full force and effect.</w:t>
      </w:r>
    </w:p>
    <w:p>
      <w:pPr>
        <w:spacing w:after="0" w:line="204" w:lineRule="exact"/>
        <w:rPr>
          <w:rFonts w:ascii="Arial" w:cs="Arial" w:eastAsia="Arial" w:hAnsi="Arial"/>
          <w:sz w:val="18"/>
          <w:szCs w:val="18"/>
          <w:color w:val="auto"/>
        </w:rPr>
      </w:pPr>
    </w:p>
    <w:p>
      <w:pPr>
        <w:ind w:right="20" w:firstLine="832"/>
        <w:spacing w:after="0" w:line="278" w:lineRule="auto"/>
        <w:tabs>
          <w:tab w:leader="none" w:pos="1493" w:val="left"/>
        </w:tabs>
        <w:numPr>
          <w:ilvl w:val="0"/>
          <w:numId w:val="51"/>
        </w:numPr>
        <w:rPr>
          <w:rFonts w:ascii="Arial" w:cs="Arial" w:eastAsia="Arial" w:hAnsi="Arial"/>
          <w:sz w:val="18"/>
          <w:szCs w:val="18"/>
          <w:color w:val="auto"/>
        </w:rPr>
      </w:pPr>
      <w:r>
        <w:rPr>
          <w:rFonts w:ascii="Arial" w:cs="Arial" w:eastAsia="Arial" w:hAnsi="Arial"/>
          <w:sz w:val="20"/>
          <w:szCs w:val="20"/>
          <w:color w:val="auto"/>
        </w:rPr>
        <w:t>Nothing herein shall be deemed to entitle the Borrower to a consent to, or a waiver, amendment, modification or other change of, any of the terms, conditions, obligations, covenants or agreements contained in the Credit Agreement or any other Loan document in similar or different circumstances.</w:t>
      </w:r>
    </w:p>
    <w:p>
      <w:pPr>
        <w:spacing w:after="0" w:line="200" w:lineRule="exact"/>
        <w:rPr>
          <w:rFonts w:ascii="Arial" w:cs="Arial" w:eastAsia="Arial" w:hAnsi="Arial"/>
          <w:sz w:val="18"/>
          <w:szCs w:val="18"/>
          <w:color w:val="auto"/>
        </w:rPr>
      </w:pPr>
    </w:p>
    <w:p>
      <w:pPr>
        <w:ind w:right="320" w:firstLine="832"/>
        <w:spacing w:after="0" w:line="289" w:lineRule="auto"/>
        <w:tabs>
          <w:tab w:leader="none" w:pos="1483" w:val="left"/>
        </w:tabs>
        <w:numPr>
          <w:ilvl w:val="0"/>
          <w:numId w:val="51"/>
        </w:numPr>
        <w:rPr>
          <w:rFonts w:ascii="Arial" w:cs="Arial" w:eastAsia="Arial" w:hAnsi="Arial"/>
          <w:sz w:val="18"/>
          <w:szCs w:val="18"/>
          <w:color w:val="auto"/>
        </w:rPr>
      </w:pPr>
      <w:r>
        <w:rPr>
          <w:rFonts w:ascii="Arial" w:cs="Arial" w:eastAsia="Arial" w:hAnsi="Arial"/>
          <w:sz w:val="20"/>
          <w:szCs w:val="20"/>
          <w:color w:val="auto"/>
        </w:rPr>
        <w:t>By signing this Amendment, the Borrower hereby confirms that the Loan Documents are, and shall continue to be, in full force and effect and are hereby ratified and confirmed in all respects.</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5</w:t>
      </w:r>
      <w:r>
        <w:rPr>
          <w:rFonts w:ascii="Arial" w:cs="Arial" w:eastAsia="Arial" w:hAnsi="Arial"/>
          <w:sz w:val="18"/>
          <w:szCs w:val="18"/>
          <w:i w:val="1"/>
          <w:iCs w:val="1"/>
          <w:color w:val="auto"/>
        </w:rPr>
        <w:t>. Governing Law.</w:t>
      </w:r>
      <w:r>
        <w:rPr>
          <w:rFonts w:ascii="Arial" w:cs="Arial" w:eastAsia="Arial" w:hAnsi="Arial"/>
          <w:sz w:val="18"/>
          <w:szCs w:val="18"/>
          <w:color w:val="auto"/>
        </w:rPr>
        <w:t xml:space="preserve"> This Amendment shall be governed by and construed in accordance with the laws of the State of New</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York.</w:t>
      </w:r>
    </w:p>
    <w:p>
      <w:pPr>
        <w:spacing w:after="0" w:line="213" w:lineRule="exact"/>
        <w:rPr>
          <w:sz w:val="20"/>
          <w:szCs w:val="20"/>
          <w:color w:val="auto"/>
        </w:rPr>
      </w:pPr>
    </w:p>
    <w:p>
      <w:pPr>
        <w:ind w:firstLine="648"/>
        <w:spacing w:after="0" w:line="269" w:lineRule="auto"/>
        <w:rPr>
          <w:sz w:val="20"/>
          <w:szCs w:val="20"/>
          <w:color w:val="auto"/>
        </w:rPr>
      </w:pPr>
      <w:r>
        <w:rPr>
          <w:rFonts w:ascii="Arial" w:cs="Arial" w:eastAsia="Arial" w:hAnsi="Arial"/>
          <w:sz w:val="19"/>
          <w:szCs w:val="19"/>
          <w:color w:val="auto"/>
        </w:rPr>
        <w:t>SECTION 6</w:t>
      </w:r>
      <w:r>
        <w:rPr>
          <w:rFonts w:ascii="Arial" w:cs="Arial" w:eastAsia="Arial" w:hAnsi="Arial"/>
          <w:sz w:val="19"/>
          <w:szCs w:val="19"/>
          <w:i w:val="1"/>
          <w:iCs w:val="1"/>
          <w:color w:val="auto"/>
        </w:rPr>
        <w:t>. Counterparts.</w:t>
      </w:r>
      <w:r>
        <w:rPr>
          <w:rFonts w:ascii="Arial" w:cs="Arial" w:eastAsia="Arial" w:hAnsi="Arial"/>
          <w:sz w:val="19"/>
          <w:szCs w:val="19"/>
          <w:color w:val="auto"/>
        </w:rPr>
        <w:t xml:space="preserve"> This Amendment may be signed in any number of counterparts, each of which shall be an original, with the same effect as if the signatures thereto and hereto were upon the same instrument. Delivery by facsimile of an executed counterpart of a signature page to this Amendment shall be effective as delivery of an original executed counterpart hereof.</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Pages Follow</w:t>
      </w:r>
      <w:r>
        <w:rPr>
          <w:rFonts w:ascii="Arial" w:cs="Arial" w:eastAsia="Arial" w:hAnsi="Arial"/>
          <w:sz w:val="20"/>
          <w:szCs w:val="20"/>
          <w:color w:val="auto"/>
        </w:rPr>
        <w:t>]</w:t>
      </w:r>
    </w:p>
    <w:p>
      <w:pPr>
        <w:sectPr>
          <w:pgSz w:w="11900" w:h="16838" w:orient="portrait"/>
          <w:cols w:equalWidth="0" w:num="1">
            <w:col w:w="11420"/>
          </w:cols>
          <w:pgMar w:left="240" w:top="582" w:right="239" w:bottom="1440" w:gutter="0" w:footer="0" w:header="0"/>
        </w:sectPr>
      </w:pPr>
    </w:p>
    <w:bookmarkStart w:id="51" w:name="page52"/>
    <w:bookmarkEnd w:id="51"/>
    <w:p>
      <w:pPr>
        <w:spacing w:after="0"/>
        <w:rPr>
          <w:sz w:val="20"/>
          <w:szCs w:val="20"/>
          <w:color w:val="auto"/>
        </w:rPr>
      </w:pPr>
      <w:r>
        <w:rPr>
          <w:rFonts w:ascii="Arial" w:cs="Arial" w:eastAsia="Arial" w:hAnsi="Arial"/>
          <w:sz w:val="16"/>
          <w:szCs w:val="16"/>
          <w:color w:val="auto"/>
        </w:rPr>
        <w:t>IN WITNESS WHEREOF, the parties hereto have caused this Amendment to be duly executed as of the date first above written.</w:t>
      </w:r>
    </w:p>
    <w:p>
      <w:pPr>
        <w:sectPr>
          <w:pgSz w:w="11900" w:h="16838" w:orient="portrait"/>
          <w:cols w:equalWidth="0" w:num="1">
            <w:col w:w="10180"/>
          </w:cols>
          <w:pgMar w:left="900" w:top="582"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2860"/>
        <w:spacing w:after="0"/>
        <w:rPr>
          <w:sz w:val="20"/>
          <w:szCs w:val="20"/>
          <w:color w:val="auto"/>
        </w:rPr>
      </w:pPr>
      <w:r>
        <w:rPr>
          <w:rFonts w:ascii="Arial" w:cs="Arial" w:eastAsia="Arial" w:hAnsi="Arial"/>
          <w:sz w:val="20"/>
          <w:szCs w:val="20"/>
          <w:color w:val="auto"/>
        </w:rPr>
        <w:t>CAMPBELL SOUP COMPANY</w:t>
      </w:r>
    </w:p>
    <w:p>
      <w:pPr>
        <w:spacing w:after="0" w:line="54" w:lineRule="exact"/>
        <w:rPr>
          <w:sz w:val="20"/>
          <w:szCs w:val="20"/>
          <w:color w:val="auto"/>
        </w:rPr>
      </w:pPr>
    </w:p>
    <w:p>
      <w:pPr>
        <w:ind w:left="2860"/>
        <w:spacing w:after="0"/>
        <w:tabs>
          <w:tab w:leader="none" w:pos="34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Ashok Madhavan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2167255</wp:posOffset>
            </wp:positionH>
            <wp:positionV relativeFrom="paragraph">
              <wp:posOffset>27305</wp:posOffset>
            </wp:positionV>
            <wp:extent cx="24612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47" w:lineRule="exact"/>
        <w:rPr>
          <w:sz w:val="20"/>
          <w:szCs w:val="20"/>
          <w:color w:val="auto"/>
        </w:rPr>
      </w:pPr>
    </w:p>
    <w:p>
      <w:pPr>
        <w:ind w:left="3440"/>
        <w:spacing w:after="0"/>
        <w:tabs>
          <w:tab w:leader="none" w:pos="42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Ashok Madhavan</w:t>
      </w:r>
    </w:p>
    <w:p>
      <w:pPr>
        <w:spacing w:after="0" w:line="54" w:lineRule="exact"/>
        <w:rPr>
          <w:sz w:val="20"/>
          <w:szCs w:val="20"/>
          <w:color w:val="auto"/>
        </w:rPr>
      </w:pPr>
    </w:p>
    <w:p>
      <w:pPr>
        <w:ind w:left="3440"/>
        <w:spacing w:after="0"/>
        <w:tabs>
          <w:tab w:leader="none" w:pos="42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VP &amp;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10180"/>
          </w:cols>
          <w:pgMar w:left="900" w:top="582" w:right="819" w:bottom="1440" w:gutter="0" w:footer="0" w:header="0"/>
          <w:type w:val="continuous"/>
        </w:sectPr>
      </w:pPr>
    </w:p>
    <w:bookmarkStart w:id="52" w:name="page53"/>
    <w:bookmarkEnd w:id="52"/>
    <w:p>
      <w:pPr>
        <w:ind w:left="2320"/>
        <w:spacing w:after="0"/>
        <w:rPr>
          <w:sz w:val="20"/>
          <w:szCs w:val="20"/>
          <w:color w:val="auto"/>
        </w:rPr>
      </w:pPr>
      <w:r>
        <w:rPr>
          <w:rFonts w:ascii="Arial" w:cs="Arial" w:eastAsia="Arial" w:hAnsi="Arial"/>
          <w:sz w:val="20"/>
          <w:szCs w:val="20"/>
          <w:color w:val="auto"/>
        </w:rPr>
        <w:t>CREDIT SUISSE AG, CAYMAN ISLANDS</w:t>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BRANCH, as Lender</w:t>
      </w:r>
    </w:p>
    <w:p>
      <w:pPr>
        <w:spacing w:after="0" w:line="38" w:lineRule="exact"/>
        <w:rPr>
          <w:sz w:val="20"/>
          <w:szCs w:val="20"/>
          <w:color w:val="auto"/>
        </w:rPr>
      </w:pPr>
    </w:p>
    <w:p>
      <w:pPr>
        <w:ind w:left="2320"/>
        <w:spacing w:after="0"/>
        <w:tabs>
          <w:tab w:leader="none" w:pos="2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27305</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7"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Vipul Dhadda</w:t>
      </w:r>
    </w:p>
    <w:p>
      <w:pPr>
        <w:spacing w:after="0" w:line="54"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2320"/>
        <w:spacing w:after="0"/>
        <w:tabs>
          <w:tab w:leader="none" w:pos="2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27305</wp:posOffset>
            </wp:positionV>
            <wp:extent cx="2418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7"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 Andrew Maletta</w:t>
      </w:r>
    </w:p>
    <w:p>
      <w:pPr>
        <w:spacing w:after="0" w:line="54"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53" w:name="page54"/>
    <w:bookmarkEnd w:id="53"/>
    <w:p>
      <w:pPr>
        <w:ind w:left="2280"/>
        <w:spacing w:after="0"/>
        <w:rPr>
          <w:sz w:val="20"/>
          <w:szCs w:val="20"/>
          <w:color w:val="auto"/>
        </w:rPr>
      </w:pPr>
      <w:r>
        <w:rPr>
          <w:rFonts w:ascii="Arial" w:cs="Arial" w:eastAsia="Arial" w:hAnsi="Arial"/>
          <w:sz w:val="20"/>
          <w:szCs w:val="20"/>
          <w:color w:val="auto"/>
        </w:rPr>
        <w:t>Barclays Bank PLC,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Nicholas Guzzardo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Nicholas Guzzardo</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Assistant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54" w:name="page55"/>
    <w:bookmarkEnd w:id="54"/>
    <w:p>
      <w:pPr>
        <w:ind w:left="2280"/>
        <w:spacing w:after="0"/>
        <w:rPr>
          <w:sz w:val="20"/>
          <w:szCs w:val="20"/>
          <w:color w:val="auto"/>
        </w:rPr>
      </w:pPr>
      <w:r>
        <w:rPr>
          <w:rFonts w:ascii="Arial" w:cs="Arial" w:eastAsia="Arial" w:hAnsi="Arial"/>
          <w:sz w:val="20"/>
          <w:szCs w:val="20"/>
          <w:color w:val="auto"/>
        </w:rPr>
        <w:t>CoBank, ACB,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Patrick Sauer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Patrick Sauer</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55" w:name="page56"/>
    <w:bookmarkEnd w:id="55"/>
    <w:p>
      <w:pPr>
        <w:ind w:left="2280"/>
        <w:spacing w:after="0"/>
        <w:rPr>
          <w:sz w:val="20"/>
          <w:szCs w:val="20"/>
          <w:color w:val="auto"/>
        </w:rPr>
      </w:pPr>
      <w:r>
        <w:rPr>
          <w:rFonts w:ascii="Arial" w:cs="Arial" w:eastAsia="Arial" w:hAnsi="Arial"/>
          <w:sz w:val="18"/>
          <w:szCs w:val="18"/>
          <w:color w:val="auto"/>
        </w:rPr>
        <w:t>PNC BANK, NATIONAL ASSOCIATION, as a Lender</w:t>
      </w:r>
    </w:p>
    <w:p>
      <w:pPr>
        <w:spacing w:after="0" w:line="77"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Denise DiSimone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Denise DiSimone</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Senior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1406" w:right="1440" w:bottom="1440" w:gutter="0" w:footer="0" w:header="0"/>
        </w:sectPr>
      </w:pPr>
    </w:p>
    <w:bookmarkStart w:id="56" w:name="page57"/>
    <w:bookmarkEnd w:id="56"/>
    <w:p>
      <w:pPr>
        <w:ind w:left="2280"/>
        <w:spacing w:after="0"/>
        <w:rPr>
          <w:sz w:val="20"/>
          <w:szCs w:val="20"/>
          <w:color w:val="auto"/>
        </w:rPr>
      </w:pPr>
      <w:r>
        <w:rPr>
          <w:rFonts w:ascii="Arial" w:cs="Arial" w:eastAsia="Arial" w:hAnsi="Arial"/>
          <w:sz w:val="20"/>
          <w:szCs w:val="20"/>
          <w:color w:val="auto"/>
        </w:rPr>
        <w:t>COOPERATIVE RABOBANK U.A., NEW YORK</w:t>
      </w:r>
    </w:p>
    <w:p>
      <w:pPr>
        <w:spacing w:after="0" w:line="16"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BRANCH, as a Lender</w:t>
      </w:r>
    </w:p>
    <w:p>
      <w:pPr>
        <w:spacing w:after="0" w:line="38"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Michael Lahaie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Michael Lahaie</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Jennifer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Jennifer Smith</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57" w:name="page58"/>
    <w:bookmarkEnd w:id="57"/>
    <w:p>
      <w:pPr>
        <w:ind w:left="2280"/>
        <w:spacing w:after="0"/>
        <w:rPr>
          <w:sz w:val="20"/>
          <w:szCs w:val="20"/>
          <w:color w:val="auto"/>
        </w:rPr>
      </w:pPr>
      <w:r>
        <w:rPr>
          <w:rFonts w:ascii="Arial" w:cs="Arial" w:eastAsia="Arial" w:hAnsi="Arial"/>
          <w:sz w:val="20"/>
          <w:szCs w:val="20"/>
          <w:color w:val="auto"/>
        </w:rPr>
        <w:t>BMO HARRIS BANK N.A.,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Jason Deegan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Jason Deegan</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58" w:name="page59"/>
    <w:bookmarkEnd w:id="58"/>
    <w:p>
      <w:pPr>
        <w:ind w:left="2280"/>
        <w:spacing w:after="0"/>
        <w:rPr>
          <w:sz w:val="20"/>
          <w:szCs w:val="20"/>
          <w:color w:val="auto"/>
        </w:rPr>
      </w:pPr>
      <w:r>
        <w:rPr>
          <w:rFonts w:ascii="Arial" w:cs="Arial" w:eastAsia="Arial" w:hAnsi="Arial"/>
          <w:sz w:val="20"/>
          <w:szCs w:val="20"/>
          <w:color w:val="auto"/>
        </w:rPr>
        <w:t>Wells Fargo Bank, N.A.,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Beth 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Beth Rue</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59" w:name="page60"/>
    <w:bookmarkEnd w:id="59"/>
    <w:p>
      <w:pPr>
        <w:ind w:left="2280"/>
        <w:spacing w:after="0"/>
        <w:rPr>
          <w:sz w:val="20"/>
          <w:szCs w:val="20"/>
          <w:color w:val="auto"/>
        </w:rPr>
      </w:pPr>
      <w:r>
        <w:rPr>
          <w:rFonts w:ascii="Arial" w:cs="Arial" w:eastAsia="Arial" w:hAnsi="Arial"/>
          <w:sz w:val="20"/>
          <w:szCs w:val="20"/>
          <w:color w:val="auto"/>
        </w:rPr>
        <w:t>JPMorgan Chase Bank, N.A.,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Tony Yung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Tony Yung</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0" w:name="page61"/>
    <w:bookmarkEnd w:id="60"/>
    <w:p>
      <w:pPr>
        <w:ind w:left="2280"/>
        <w:spacing w:after="0"/>
        <w:rPr>
          <w:sz w:val="20"/>
          <w:szCs w:val="20"/>
          <w:color w:val="auto"/>
        </w:rPr>
      </w:pPr>
      <w:r>
        <w:rPr>
          <w:rFonts w:ascii="Arial" w:cs="Arial" w:eastAsia="Arial" w:hAnsi="Arial"/>
          <w:sz w:val="20"/>
          <w:szCs w:val="20"/>
          <w:color w:val="auto"/>
        </w:rPr>
        <w:t>ROYAL BANK OF CANADA,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Nikhil Madhok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Nikhil Madhok</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1" w:name="page62"/>
    <w:bookmarkEnd w:id="61"/>
    <w:p>
      <w:pPr>
        <w:ind w:left="2280"/>
        <w:spacing w:after="0"/>
        <w:rPr>
          <w:sz w:val="20"/>
          <w:szCs w:val="20"/>
          <w:color w:val="auto"/>
        </w:rPr>
      </w:pPr>
      <w:r>
        <w:rPr>
          <w:rFonts w:ascii="Arial" w:cs="Arial" w:eastAsia="Arial" w:hAnsi="Arial"/>
          <w:sz w:val="20"/>
          <w:szCs w:val="20"/>
          <w:color w:val="auto"/>
        </w:rPr>
        <w:t>CITIBANK, N.A.,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Carolyn A. Kee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Carolyn A. Kee</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2" w:name="page63"/>
    <w:bookmarkEnd w:id="62"/>
    <w:p>
      <w:pPr>
        <w:ind w:left="2280"/>
        <w:spacing w:after="0"/>
        <w:rPr>
          <w:sz w:val="20"/>
          <w:szCs w:val="20"/>
          <w:color w:val="auto"/>
        </w:rPr>
      </w:pPr>
      <w:r>
        <w:rPr>
          <w:rFonts w:ascii="Arial" w:cs="Arial" w:eastAsia="Arial" w:hAnsi="Arial"/>
          <w:sz w:val="16"/>
          <w:szCs w:val="16"/>
          <w:color w:val="auto"/>
        </w:rPr>
        <w:t>Manufacturers and Traders Trust Company, as a Lender</w:t>
      </w:r>
    </w:p>
    <w:p>
      <w:pPr>
        <w:spacing w:after="0" w:line="100"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Keith A. Mummert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Keith A. Mummert</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3" w:name="page64"/>
    <w:bookmarkEnd w:id="63"/>
    <w:p>
      <w:pPr>
        <w:ind w:left="2280"/>
        <w:spacing w:after="0"/>
        <w:rPr>
          <w:sz w:val="20"/>
          <w:szCs w:val="20"/>
          <w:color w:val="auto"/>
        </w:rPr>
      </w:pPr>
      <w:r>
        <w:rPr>
          <w:rFonts w:ascii="Arial" w:cs="Arial" w:eastAsia="Arial" w:hAnsi="Arial"/>
          <w:sz w:val="20"/>
          <w:szCs w:val="20"/>
          <w:color w:val="auto"/>
        </w:rPr>
        <w:t>Bank of America, N.A.,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Andrew Wulff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Andrew Wulff</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4" w:name="page65"/>
    <w:bookmarkEnd w:id="64"/>
    <w:p>
      <w:pPr>
        <w:ind w:left="2280"/>
        <w:spacing w:after="0"/>
        <w:rPr>
          <w:sz w:val="20"/>
          <w:szCs w:val="20"/>
          <w:color w:val="auto"/>
        </w:rPr>
      </w:pPr>
      <w:r>
        <w:rPr>
          <w:rFonts w:ascii="Arial" w:cs="Arial" w:eastAsia="Arial" w:hAnsi="Arial"/>
          <w:sz w:val="19"/>
          <w:szCs w:val="19"/>
          <w:color w:val="auto"/>
        </w:rPr>
        <w:t>SUMITOMO MITSUI BANKING CORPORATION, as</w:t>
      </w:r>
    </w:p>
    <w:p>
      <w:pPr>
        <w:spacing w:after="0" w:line="27" w:lineRule="exact"/>
        <w:rPr>
          <w:sz w:val="20"/>
          <w:szCs w:val="20"/>
          <w:color w:val="auto"/>
        </w:rPr>
      </w:pPr>
    </w:p>
    <w:p>
      <w:pPr>
        <w:ind w:left="2280"/>
        <w:spacing w:after="0"/>
        <w:rPr>
          <w:sz w:val="20"/>
          <w:szCs w:val="20"/>
          <w:color w:val="auto"/>
        </w:rPr>
      </w:pPr>
      <w:r>
        <w:rPr>
          <w:rFonts w:ascii="Arial" w:cs="Arial" w:eastAsia="Arial" w:hAnsi="Arial"/>
          <w:sz w:val="20"/>
          <w:szCs w:val="20"/>
          <w:color w:val="auto"/>
        </w:rPr>
        <w:t>a Lender</w:t>
      </w:r>
    </w:p>
    <w:p>
      <w:pPr>
        <w:spacing w:after="0" w:line="38"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James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James Weinstein</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5" w:name="page66"/>
    <w:bookmarkEnd w:id="65"/>
    <w:p>
      <w:pPr>
        <w:ind w:left="2280"/>
        <w:spacing w:after="0"/>
        <w:rPr>
          <w:sz w:val="20"/>
          <w:szCs w:val="20"/>
          <w:color w:val="auto"/>
        </w:rPr>
      </w:pPr>
      <w:r>
        <w:rPr>
          <w:rFonts w:ascii="Arial" w:cs="Arial" w:eastAsia="Arial" w:hAnsi="Arial"/>
          <w:sz w:val="20"/>
          <w:szCs w:val="20"/>
          <w:color w:val="auto"/>
        </w:rPr>
        <w:t>BNP PARIBAS,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Melissa Dyki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Melissa Dyki</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Richard Pace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Richard Pace</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6" w:name="page67"/>
    <w:bookmarkEnd w:id="66"/>
    <w:p>
      <w:pPr>
        <w:ind w:left="2280"/>
        <w:spacing w:after="0"/>
        <w:rPr>
          <w:sz w:val="20"/>
          <w:szCs w:val="20"/>
          <w:color w:val="auto"/>
        </w:rPr>
      </w:pPr>
      <w:r>
        <w:rPr>
          <w:rFonts w:ascii="Arial" w:cs="Arial" w:eastAsia="Arial" w:hAnsi="Arial"/>
          <w:sz w:val="20"/>
          <w:szCs w:val="20"/>
          <w:color w:val="auto"/>
        </w:rPr>
        <w:t>Bank of Tokyo Mitsubishi UFJ, as a Lender</w:t>
      </w:r>
    </w:p>
    <w:p>
      <w:pPr>
        <w:spacing w:after="0" w:line="54" w:lineRule="exact"/>
        <w:rPr>
          <w:sz w:val="20"/>
          <w:szCs w:val="20"/>
          <w:color w:val="auto"/>
        </w:rPr>
      </w:pPr>
    </w:p>
    <w:p>
      <w:pPr>
        <w:ind w:left="2280"/>
        <w:spacing w:after="0"/>
        <w:tabs>
          <w:tab w:leader="none" w:pos="28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Charles Shaw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1807210</wp:posOffset>
            </wp:positionH>
            <wp:positionV relativeFrom="paragraph">
              <wp:posOffset>27305</wp:posOffset>
            </wp:positionV>
            <wp:extent cx="24955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2495550" cy="8890"/>
                    </a:xfrm>
                    <a:prstGeom prst="rect">
                      <a:avLst/>
                    </a:prstGeom>
                    <a:noFill/>
                  </pic:spPr>
                </pic:pic>
              </a:graphicData>
            </a:graphic>
          </wp:anchor>
        </w:drawing>
      </w:r>
    </w:p>
    <w:p>
      <w:pPr>
        <w:spacing w:after="0" w:line="47"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Charles Shaw</w:t>
      </w:r>
    </w:p>
    <w:p>
      <w:pPr>
        <w:spacing w:after="0" w:line="54" w:lineRule="exact"/>
        <w:rPr>
          <w:sz w:val="20"/>
          <w:szCs w:val="20"/>
          <w:color w:val="auto"/>
        </w:rPr>
      </w:pPr>
    </w:p>
    <w:p>
      <w:pPr>
        <w:ind w:left="2880"/>
        <w:spacing w:after="0"/>
        <w:tabs>
          <w:tab w:leader="none" w:pos="37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7" w:name="page68"/>
    <w:bookmarkEnd w:id="67"/>
    <w:p>
      <w:pPr>
        <w:ind w:left="2320"/>
        <w:spacing w:after="0"/>
        <w:rPr>
          <w:sz w:val="20"/>
          <w:szCs w:val="20"/>
          <w:color w:val="auto"/>
        </w:rPr>
      </w:pPr>
      <w:r>
        <w:rPr>
          <w:rFonts w:ascii="Arial" w:cs="Arial" w:eastAsia="Arial" w:hAnsi="Arial"/>
          <w:sz w:val="20"/>
          <w:szCs w:val="20"/>
          <w:color w:val="auto"/>
        </w:rPr>
        <w:t>CREDIT SUISSE AG, CAYMAN ISLANDS</w:t>
      </w:r>
    </w:p>
    <w:p>
      <w:pPr>
        <w:spacing w:after="0" w:line="16" w:lineRule="exact"/>
        <w:rPr>
          <w:sz w:val="20"/>
          <w:szCs w:val="20"/>
          <w:color w:val="auto"/>
        </w:rPr>
      </w:pPr>
    </w:p>
    <w:p>
      <w:pPr>
        <w:ind w:left="2320"/>
        <w:spacing w:after="0"/>
        <w:rPr>
          <w:sz w:val="20"/>
          <w:szCs w:val="20"/>
          <w:color w:val="auto"/>
        </w:rPr>
      </w:pPr>
      <w:r>
        <w:rPr>
          <w:rFonts w:ascii="Arial" w:cs="Arial" w:eastAsia="Arial" w:hAnsi="Arial"/>
          <w:sz w:val="20"/>
          <w:szCs w:val="20"/>
          <w:color w:val="auto"/>
        </w:rPr>
        <w:t>BRANCH, as Administrative Agent</w:t>
      </w:r>
    </w:p>
    <w:p>
      <w:pPr>
        <w:spacing w:after="0" w:line="38" w:lineRule="exact"/>
        <w:rPr>
          <w:sz w:val="20"/>
          <w:szCs w:val="20"/>
          <w:color w:val="auto"/>
        </w:rPr>
      </w:pPr>
    </w:p>
    <w:p>
      <w:pPr>
        <w:ind w:left="2320"/>
        <w:spacing w:after="0"/>
        <w:tabs>
          <w:tab w:leader="none" w:pos="2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Vipul Dhadda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27305</wp:posOffset>
            </wp:positionV>
            <wp:extent cx="2418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7"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Vipul Dhadda</w:t>
      </w:r>
    </w:p>
    <w:p>
      <w:pPr>
        <w:spacing w:after="0" w:line="54"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320"/>
        <w:spacing w:after="0"/>
        <w:tabs>
          <w:tab w:leader="none" w:pos="2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1858645</wp:posOffset>
            </wp:positionH>
            <wp:positionV relativeFrom="paragraph">
              <wp:posOffset>27305</wp:posOffset>
            </wp:positionV>
            <wp:extent cx="24180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7"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Name:</w:t>
      </w:r>
      <w:r>
        <w:rPr>
          <w:sz w:val="20"/>
          <w:szCs w:val="20"/>
          <w:color w:val="auto"/>
        </w:rPr>
        <w:tab/>
      </w:r>
      <w:r>
        <w:rPr>
          <w:rFonts w:ascii="Arial" w:cs="Arial" w:eastAsia="Arial" w:hAnsi="Arial"/>
          <w:sz w:val="18"/>
          <w:szCs w:val="18"/>
          <w:color w:val="auto"/>
        </w:rPr>
        <w:t>D. Andrew Maletta</w:t>
      </w:r>
    </w:p>
    <w:p>
      <w:pPr>
        <w:spacing w:after="0" w:line="54" w:lineRule="exact"/>
        <w:rPr>
          <w:sz w:val="20"/>
          <w:szCs w:val="20"/>
          <w:color w:val="auto"/>
        </w:rPr>
      </w:pPr>
    </w:p>
    <w:p>
      <w:pPr>
        <w:ind w:left="2940"/>
        <w:spacing w:after="0"/>
        <w:tabs>
          <w:tab w:leader="none" w:pos="372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Amendment No. 1 to Credit Agreement]</w:t>
      </w:r>
    </w:p>
    <w:p>
      <w:pPr>
        <w:sectPr>
          <w:pgSz w:w="11900" w:h="16838" w:orient="portrait"/>
          <w:cols w:equalWidth="0" w:num="1">
            <w:col w:w="9019"/>
          </w:cols>
          <w:pgMar w:left="1440" w:top="974" w:right="1440"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10(b)</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Mark Alexander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5"/>
          <w:szCs w:val="15"/>
          <w:color w:val="auto"/>
        </w:rPr>
        <w:t>Severance Agreement and General Release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225"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The purpose of this letter is to confirm the terms regarding the termination of your employment with Campbell Soup Company and/or its subsidiary or affiliated entity (“the Company”). As set forth more fully below, we offer to you the following Severance Agreement, which includes a General Release (“the Agreement”).</w:t>
      </w:r>
    </w:p>
    <w:p>
      <w:pPr>
        <w:spacing w:after="0" w:line="18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terms and conditions set forth in Paragraph 1 below will apply regardless of whether you decide to sign this Agreement. However, you will not be eligible to receive the payments and other benefits (“Severance Benefits”) described in Paragraph 2 below unless you sign and do not revoke this Agreement. (Please see Paragraph 17 below for what it means to revoke this Agreement.)</w:t>
      </w:r>
    </w:p>
    <w:p>
      <w:pPr>
        <w:spacing w:after="0" w:line="181"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This Agreement is an important legal document. You are encouraged to read it carefully and make certain that you understand and agree with it before you sign it. You may consider for forty-five (45) days whether you wish to sign this Agreement. Because this is a legal document, you are encouraged to review it with your attorney.</w:t>
      </w:r>
    </w:p>
    <w:p>
      <w:pPr>
        <w:spacing w:after="0" w:line="208" w:lineRule="exact"/>
        <w:rPr>
          <w:sz w:val="20"/>
          <w:szCs w:val="20"/>
          <w:color w:val="auto"/>
        </w:rPr>
      </w:pPr>
    </w:p>
    <w:p>
      <w:pPr>
        <w:ind w:left="1440" w:hanging="784"/>
        <w:spacing w:after="0"/>
        <w:tabs>
          <w:tab w:leader="none" w:pos="14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General Terms of Termination</w:t>
      </w:r>
      <w:r>
        <w:rPr>
          <w:rFonts w:ascii="Arial" w:cs="Arial" w:eastAsia="Arial" w:hAnsi="Arial"/>
          <w:sz w:val="18"/>
          <w:szCs w:val="18"/>
          <w:color w:val="auto"/>
        </w:rPr>
        <w:t>. As noted above, whether or not you sign this Agreement:</w:t>
      </w:r>
    </w:p>
    <w:p>
      <w:pPr>
        <w:spacing w:after="0" w:line="265" w:lineRule="exact"/>
        <w:rPr>
          <w:rFonts w:ascii="Arial" w:cs="Arial" w:eastAsia="Arial" w:hAnsi="Arial"/>
          <w:sz w:val="18"/>
          <w:szCs w:val="18"/>
          <w:color w:val="auto"/>
        </w:rPr>
      </w:pPr>
    </w:p>
    <w:p>
      <w:pPr>
        <w:ind w:left="2160" w:hanging="855"/>
        <w:spacing w:after="0"/>
        <w:tabs>
          <w:tab w:leader="none" w:pos="2160" w:val="left"/>
        </w:tabs>
        <w:numPr>
          <w:ilvl w:val="1"/>
          <w:numId w:val="52"/>
        </w:numPr>
        <w:rPr>
          <w:rFonts w:ascii="Arial" w:cs="Arial" w:eastAsia="Arial" w:hAnsi="Arial"/>
          <w:sz w:val="17"/>
          <w:szCs w:val="17"/>
          <w:color w:val="auto"/>
        </w:rPr>
      </w:pPr>
      <w:r>
        <w:rPr>
          <w:rFonts w:ascii="Arial" w:cs="Arial" w:eastAsia="Arial" w:hAnsi="Arial"/>
          <w:sz w:val="17"/>
          <w:szCs w:val="17"/>
          <w:color w:val="auto"/>
        </w:rPr>
        <w:t>Your last official day of work will be April 2, 2018. Thereafter, you will be on paid garden leave until your official notice date</w:t>
      </w:r>
    </w:p>
    <w:p>
      <w:pPr>
        <w:spacing w:after="0" w:line="61"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of September 3, 2018.</w:t>
      </w:r>
    </w:p>
    <w:p>
      <w:pPr>
        <w:spacing w:after="0" w:line="265" w:lineRule="exact"/>
        <w:rPr>
          <w:rFonts w:ascii="Arial" w:cs="Arial" w:eastAsia="Arial" w:hAnsi="Arial"/>
          <w:sz w:val="17"/>
          <w:szCs w:val="17"/>
          <w:color w:val="auto"/>
        </w:rPr>
      </w:pPr>
    </w:p>
    <w:p>
      <w:pPr>
        <w:ind w:right="700" w:firstLine="1305"/>
        <w:spacing w:after="0" w:line="324" w:lineRule="auto"/>
        <w:tabs>
          <w:tab w:leader="none" w:pos="2155"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 will then receive four (4) weeks’ pay in lieu of notice, after which, on October 1, 2018, your employment with the Company will terminate (“Termination Date”).</w:t>
      </w:r>
    </w:p>
    <w:p>
      <w:pPr>
        <w:spacing w:after="0" w:line="170" w:lineRule="exact"/>
        <w:rPr>
          <w:rFonts w:ascii="Arial" w:cs="Arial" w:eastAsia="Arial" w:hAnsi="Arial"/>
          <w:sz w:val="18"/>
          <w:szCs w:val="18"/>
          <w:color w:val="auto"/>
        </w:rPr>
      </w:pPr>
    </w:p>
    <w:p>
      <w:pPr>
        <w:ind w:left="2160" w:hanging="855"/>
        <w:spacing w:after="0"/>
        <w:tabs>
          <w:tab w:leader="none" w:pos="2160"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 will receive a lump sum payment for your accrued but unused paid-time off, if any, as of your Termination Date.</w:t>
      </w:r>
    </w:p>
    <w:p>
      <w:pPr>
        <w:spacing w:after="0" w:line="265" w:lineRule="exact"/>
        <w:rPr>
          <w:rFonts w:ascii="Arial" w:cs="Arial" w:eastAsia="Arial" w:hAnsi="Arial"/>
          <w:sz w:val="18"/>
          <w:szCs w:val="18"/>
          <w:color w:val="auto"/>
        </w:rPr>
      </w:pPr>
    </w:p>
    <w:p>
      <w:pPr>
        <w:ind w:right="140" w:firstLine="1305"/>
        <w:spacing w:after="0" w:line="301" w:lineRule="auto"/>
        <w:tabs>
          <w:tab w:leader="none" w:pos="2155"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Your eligibility to participate in the Company-sponsored health plans (medical, dental, and vision) as an employee of the Company will end on the last day of the month in which your Termination Date occurs. Thereafter, you will be eligible to continue such coverages at your sole expense in accordance with a federal law called the Consolidated Omnibus Budget Reconciliation Act (“COBRA”), subject to the terms, conditions and restrictions of the group medical, dental, and vision plans and COBRA. However, if you sign and do not revoke this Agreement, while your period of COBRA eligibility will commence on the first day of the month following your Termination Date, you will remain eligible to participate in the Company’s medical (but not dental or vision) plan at active employee premium contribution rates until the end of the Severance Period as defined in Paragraph 2(a) below. After the end of the Severance Period, you will be eligible to continue participation in the Company’s medical plan at your sole expense for the remainder, if any, of your COBRA eligibility period.</w:t>
      </w:r>
    </w:p>
    <w:p>
      <w:pPr>
        <w:spacing w:after="0" w:line="192" w:lineRule="exact"/>
        <w:rPr>
          <w:rFonts w:ascii="Arial" w:cs="Arial" w:eastAsia="Arial" w:hAnsi="Arial"/>
          <w:sz w:val="18"/>
          <w:szCs w:val="18"/>
          <w:color w:val="auto"/>
        </w:rPr>
      </w:pPr>
    </w:p>
    <w:p>
      <w:pPr>
        <w:jc w:val="both"/>
        <w:ind w:right="240" w:firstLine="1305"/>
        <w:spacing w:after="0" w:line="306" w:lineRule="auto"/>
        <w:tabs>
          <w:tab w:leader="none" w:pos="2144" w:val="left"/>
        </w:tabs>
        <w:numPr>
          <w:ilvl w:val="1"/>
          <w:numId w:val="52"/>
        </w:numPr>
        <w:rPr>
          <w:rFonts w:ascii="Arial" w:cs="Arial" w:eastAsia="Arial" w:hAnsi="Arial"/>
          <w:sz w:val="18"/>
          <w:szCs w:val="18"/>
          <w:color w:val="auto"/>
        </w:rPr>
      </w:pPr>
      <w:r>
        <w:rPr>
          <w:rFonts w:ascii="Arial" w:cs="Arial" w:eastAsia="Arial" w:hAnsi="Arial"/>
          <w:sz w:val="18"/>
          <w:szCs w:val="18"/>
          <w:color w:val="auto"/>
        </w:rPr>
        <w:t>Your eligibility to participate in all other Company-sponsored group benefits, including but not limited to group life, business travel, disability, and accidental death and dismemberment coverage, will terminate on the Termination Date, unless the applicable plan document provides for a different result. However, if you sign and do not revoke this Agreement, you will remain eligible to participate in the Company’s group life insurance until the end of the Severance Period as defined in Paragraph 2(a) below.</w:t>
      </w:r>
    </w:p>
    <w:p>
      <w:pPr>
        <w:spacing w:after="0" w:line="186" w:lineRule="exact"/>
        <w:rPr>
          <w:rFonts w:ascii="Arial" w:cs="Arial" w:eastAsia="Arial" w:hAnsi="Arial"/>
          <w:sz w:val="18"/>
          <w:szCs w:val="18"/>
          <w:color w:val="auto"/>
        </w:rPr>
      </w:pPr>
    </w:p>
    <w:p>
      <w:pPr>
        <w:ind w:right="40" w:firstLine="1305"/>
        <w:spacing w:after="0" w:line="323" w:lineRule="auto"/>
        <w:tabs>
          <w:tab w:leader="none" w:pos="2125" w:val="left"/>
        </w:tabs>
        <w:numPr>
          <w:ilvl w:val="1"/>
          <w:numId w:val="52"/>
        </w:numPr>
        <w:rPr>
          <w:rFonts w:ascii="Arial" w:cs="Arial" w:eastAsia="Arial" w:hAnsi="Arial"/>
          <w:sz w:val="17"/>
          <w:szCs w:val="17"/>
          <w:color w:val="auto"/>
        </w:rPr>
      </w:pPr>
      <w:r>
        <w:rPr>
          <w:rFonts w:ascii="Arial" w:cs="Arial" w:eastAsia="Arial" w:hAnsi="Arial"/>
          <w:sz w:val="17"/>
          <w:szCs w:val="17"/>
          <w:color w:val="auto"/>
        </w:rPr>
        <w:t>You remain legally bound by and must comply with the terms, conditions, and restrictions of the Nonqualified Stock Option and Non-Competition Agreement executed by you on June 26, 1997 (the “Non-Competition Agreement”). The prohibitions in paragraphs 5, 6 and 7 of the Non-Competition Agreement shall expire on April 30, 2019; however, nothing in this Agreement shall prevent you on or after May 1, 2018 from accepting and starting any employment (or providing any services to any entity) that does not violate the Non-Competition Agreement. Questions regarding prospective opportunities and the impact of your Non-Competition Agreement will be handled generally in accordance with the terms set forth in Paragraph 9 of the Campbell Soup Company Confidential and Proprietary Information Agreement signed by you on March 31, 1997.</w:t>
      </w:r>
    </w:p>
    <w:p>
      <w:pPr>
        <w:sectPr>
          <w:pgSz w:w="11900" w:h="16838" w:orient="portrait"/>
          <w:cols w:equalWidth="0" w:num="1">
            <w:col w:w="11420"/>
          </w:cols>
          <w:pgMar w:left="240" w:top="580" w:right="239" w:bottom="1440" w:gutter="0" w:footer="0" w:header="0"/>
        </w:sectPr>
      </w:pPr>
    </w:p>
    <w:bookmarkStart w:id="69" w:name="page70"/>
    <w:bookmarkEnd w:id="69"/>
    <w:p>
      <w:pPr>
        <w:ind w:right="20" w:firstLine="656"/>
        <w:spacing w:after="0" w:line="324" w:lineRule="auto"/>
        <w:tabs>
          <w:tab w:leader="none" w:pos="1431"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Severance Benefits</w:t>
      </w:r>
      <w:r>
        <w:rPr>
          <w:rFonts w:ascii="Arial" w:cs="Arial" w:eastAsia="Arial" w:hAnsi="Arial"/>
          <w:sz w:val="18"/>
          <w:szCs w:val="18"/>
          <w:color w:val="auto"/>
        </w:rPr>
        <w:t>. If you sign and do not revoke this Agreement, agreeing to be bound by the General Release in Paragraph 3 below and the other terms and conditions of this Agreement, the Company will do the following:</w:t>
      </w:r>
    </w:p>
    <w:p>
      <w:pPr>
        <w:spacing w:after="0" w:line="170" w:lineRule="exact"/>
        <w:rPr>
          <w:rFonts w:ascii="Arial" w:cs="Arial" w:eastAsia="Arial" w:hAnsi="Arial"/>
          <w:sz w:val="18"/>
          <w:szCs w:val="18"/>
          <w:color w:val="auto"/>
        </w:rPr>
      </w:pPr>
    </w:p>
    <w:p>
      <w:pPr>
        <w:ind w:right="40" w:firstLine="1305"/>
        <w:spacing w:after="0" w:line="323" w:lineRule="auto"/>
        <w:tabs>
          <w:tab w:leader="none" w:pos="2144" w:val="left"/>
        </w:tabs>
        <w:numPr>
          <w:ilvl w:val="2"/>
          <w:numId w:val="53"/>
        </w:numPr>
        <w:rPr>
          <w:rFonts w:ascii="Arial" w:cs="Arial" w:eastAsia="Arial" w:hAnsi="Arial"/>
          <w:sz w:val="17"/>
          <w:szCs w:val="17"/>
          <w:color w:val="auto"/>
        </w:rPr>
      </w:pPr>
      <w:r>
        <w:rPr>
          <w:rFonts w:ascii="Arial" w:cs="Arial" w:eastAsia="Arial" w:hAnsi="Arial"/>
          <w:sz w:val="17"/>
          <w:szCs w:val="17"/>
          <w:color w:val="auto"/>
        </w:rPr>
        <w:t>The Company will pay you one hundred four (104) weeks of severance pay at your current base salary ($731,800), less withholding of all applicable federal, state, and local taxes. The severance payments will be paid to you in accordance with the Company’s regular payroll practices after you have received your pay in lieu of notice in accordance with Paragraph 1(b) above (and in accordance with the provisions relating to Section 409A of the Internal Revenue Code of 1986, as amended (the “Code”) in the Company’s Severance Pay Plan for Salaried Employees (the “Severance Pay Plan”), which provisions are incorporated into this Agreement by reference). For purposes of this Agreement, the period in which you receive severance payments pursuant to this Paragraph 2(a) shall be referred to as the “Severance Period.”</w:t>
      </w:r>
    </w:p>
    <w:p>
      <w:pPr>
        <w:spacing w:after="0" w:line="177" w:lineRule="exact"/>
        <w:rPr>
          <w:rFonts w:ascii="Arial" w:cs="Arial" w:eastAsia="Arial" w:hAnsi="Arial"/>
          <w:sz w:val="17"/>
          <w:szCs w:val="17"/>
          <w:color w:val="auto"/>
        </w:rPr>
      </w:pPr>
    </w:p>
    <w:p>
      <w:pPr>
        <w:ind w:firstLine="1305"/>
        <w:spacing w:after="0" w:line="319" w:lineRule="auto"/>
        <w:tabs>
          <w:tab w:leader="none" w:pos="2155" w:val="left"/>
        </w:tabs>
        <w:numPr>
          <w:ilvl w:val="2"/>
          <w:numId w:val="53"/>
        </w:numPr>
        <w:rPr>
          <w:rFonts w:ascii="Arial" w:cs="Arial" w:eastAsia="Arial" w:hAnsi="Arial"/>
          <w:sz w:val="17"/>
          <w:szCs w:val="17"/>
          <w:color w:val="auto"/>
        </w:rPr>
      </w:pPr>
      <w:r>
        <w:rPr>
          <w:rFonts w:ascii="Arial" w:cs="Arial" w:eastAsia="Arial" w:hAnsi="Arial"/>
          <w:sz w:val="17"/>
          <w:szCs w:val="17"/>
          <w:color w:val="auto"/>
        </w:rPr>
        <w:t>While your COBRA eligibility period will commence on the first day of the month following your Termination Date, the Company will continue your medical (but not dental or vision) coverage until the end of the Severance Period as though you were actively employed by the Company at active employee premium contribution rates, and your portion of the monthly contributions will be deducted from the payments you receive following the Termination Date (and with respect to such continuation the provisions relating to Section 409A of the Code in the Severance Pay Plan concerning such continuation are incorporated by reference into this Agreement). Notwithstanding the foregoing, during this period, the Company shall impute as taxable income to you an amount equal to the full actuarial cost of such coverage in excess of your contributions to the cost of such coverage, for each month during which such coverage is in effect for you and/or your eligible dependents but only if and to the extent such imputation is required for you to avoid being subject to tax under Section 105(h) of the Code, with respect to any payment or reimbursement of expenses made to you or for you and/or any of your eligible dependents’ benefit under such plan. After the Severance Period, your continued participation in the Company’s group medical plan for the remainder, if any, of your COBRA eligibility period shall be at your sole expense.</w:t>
      </w:r>
    </w:p>
    <w:p>
      <w:pPr>
        <w:spacing w:after="0" w:line="183" w:lineRule="exact"/>
        <w:rPr>
          <w:rFonts w:ascii="Arial" w:cs="Arial" w:eastAsia="Arial" w:hAnsi="Arial"/>
          <w:sz w:val="17"/>
          <w:szCs w:val="17"/>
          <w:color w:val="auto"/>
        </w:rPr>
      </w:pPr>
    </w:p>
    <w:p>
      <w:pPr>
        <w:ind w:right="600" w:firstLine="1305"/>
        <w:spacing w:after="0" w:line="395" w:lineRule="auto"/>
        <w:tabs>
          <w:tab w:leader="none" w:pos="2144" w:val="left"/>
        </w:tabs>
        <w:numPr>
          <w:ilvl w:val="2"/>
          <w:numId w:val="53"/>
        </w:numPr>
        <w:rPr>
          <w:rFonts w:ascii="Arial" w:cs="Arial" w:eastAsia="Arial" w:hAnsi="Arial"/>
          <w:sz w:val="16"/>
          <w:szCs w:val="16"/>
          <w:color w:val="auto"/>
        </w:rPr>
      </w:pPr>
      <w:r>
        <w:rPr>
          <w:rFonts w:ascii="Arial" w:cs="Arial" w:eastAsia="Arial" w:hAnsi="Arial"/>
          <w:sz w:val="16"/>
          <w:szCs w:val="16"/>
          <w:color w:val="auto"/>
        </w:rPr>
        <w:t>The Company will continue your group life insurance until the end of the Severance Period as though you were actively employed by the Company. After the Severance Period, your continued participation in the Company’s group life insurance shall terminate.</w:t>
      </w:r>
    </w:p>
    <w:p>
      <w:pPr>
        <w:spacing w:after="0" w:line="123" w:lineRule="exact"/>
        <w:rPr>
          <w:rFonts w:ascii="Arial" w:cs="Arial" w:eastAsia="Arial" w:hAnsi="Arial"/>
          <w:sz w:val="16"/>
          <w:szCs w:val="16"/>
          <w:color w:val="auto"/>
        </w:rPr>
      </w:pPr>
    </w:p>
    <w:p>
      <w:pPr>
        <w:ind w:left="2160" w:hanging="855"/>
        <w:spacing w:after="0"/>
        <w:tabs>
          <w:tab w:leader="none" w:pos="2160" w:val="left"/>
        </w:tabs>
        <w:numPr>
          <w:ilvl w:val="2"/>
          <w:numId w:val="53"/>
        </w:numPr>
        <w:rPr>
          <w:rFonts w:ascii="Arial" w:cs="Arial" w:eastAsia="Arial" w:hAnsi="Arial"/>
          <w:sz w:val="16"/>
          <w:szCs w:val="16"/>
          <w:color w:val="auto"/>
        </w:rPr>
      </w:pPr>
      <w:r>
        <w:rPr>
          <w:rFonts w:ascii="Arial" w:cs="Arial" w:eastAsia="Arial" w:hAnsi="Arial"/>
          <w:sz w:val="16"/>
          <w:szCs w:val="16"/>
          <w:color w:val="auto"/>
        </w:rPr>
        <w:t>In lieu of providing you with outplacement services, the Company will pay the fees for your executive coach for his services for</w:t>
      </w:r>
    </w:p>
    <w:p>
      <w:pPr>
        <w:spacing w:after="0" w:line="7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 additional 12 months.</w:t>
      </w:r>
    </w:p>
    <w:p>
      <w:pPr>
        <w:spacing w:after="0" w:line="265" w:lineRule="exact"/>
        <w:rPr>
          <w:rFonts w:ascii="Arial" w:cs="Arial" w:eastAsia="Arial" w:hAnsi="Arial"/>
          <w:sz w:val="16"/>
          <w:szCs w:val="16"/>
          <w:color w:val="auto"/>
        </w:rPr>
      </w:pPr>
    </w:p>
    <w:p>
      <w:pPr>
        <w:jc w:val="both"/>
        <w:ind w:right="220" w:firstLine="1305"/>
        <w:spacing w:after="0" w:line="311" w:lineRule="auto"/>
        <w:tabs>
          <w:tab w:leader="none" w:pos="2144" w:val="left"/>
        </w:tabs>
        <w:numPr>
          <w:ilvl w:val="2"/>
          <w:numId w:val="53"/>
        </w:numPr>
        <w:rPr>
          <w:rFonts w:ascii="Arial" w:cs="Arial" w:eastAsia="Arial" w:hAnsi="Arial"/>
          <w:sz w:val="18"/>
          <w:szCs w:val="18"/>
          <w:color w:val="auto"/>
        </w:rPr>
      </w:pPr>
      <w:r>
        <w:rPr>
          <w:rFonts w:ascii="Arial" w:cs="Arial" w:eastAsia="Arial" w:hAnsi="Arial"/>
          <w:sz w:val="18"/>
          <w:szCs w:val="18"/>
          <w:color w:val="auto"/>
        </w:rPr>
        <w:t>Your eligibility to participate in the Company’s benefit plans and programs in accordance with Paragraphs 2(b) and (c) above shall cease when you become eligible for benefits coverage from a new employer. You must inform me when you become eligible for benefits from a new employer.</w:t>
      </w:r>
    </w:p>
    <w:p>
      <w:pPr>
        <w:spacing w:after="0" w:line="181" w:lineRule="exact"/>
        <w:rPr>
          <w:rFonts w:ascii="Arial" w:cs="Arial" w:eastAsia="Arial" w:hAnsi="Arial"/>
          <w:sz w:val="18"/>
          <w:szCs w:val="18"/>
          <w:color w:val="auto"/>
        </w:rPr>
      </w:pPr>
    </w:p>
    <w:p>
      <w:pPr>
        <w:ind w:right="100" w:firstLine="1305"/>
        <w:spacing w:after="0" w:line="304" w:lineRule="auto"/>
        <w:tabs>
          <w:tab w:leader="none" w:pos="2125" w:val="left"/>
        </w:tabs>
        <w:numPr>
          <w:ilvl w:val="2"/>
          <w:numId w:val="53"/>
        </w:numPr>
        <w:rPr>
          <w:rFonts w:ascii="Arial" w:cs="Arial" w:eastAsia="Arial" w:hAnsi="Arial"/>
          <w:sz w:val="18"/>
          <w:szCs w:val="18"/>
          <w:color w:val="auto"/>
        </w:rPr>
      </w:pPr>
      <w:r>
        <w:rPr>
          <w:rFonts w:ascii="Arial" w:cs="Arial" w:eastAsia="Arial" w:hAnsi="Arial"/>
          <w:sz w:val="18"/>
          <w:szCs w:val="18"/>
          <w:color w:val="auto"/>
        </w:rPr>
        <w:t>If you violate any of the post-termination restrictions set forth in the Non-Competition Agreement, the Company, in its sole discretion, may cease making the payments and providing the benefits set forth in this Paragraph 2; however, the General Release in Paragraph 3 below shall remain in full force and effect. Prior to taking such action, the Company shall give you written notice and a reasonable opportunity to cure and if you cure such event, the Company shall not have the right to cease making such payments or providing such benefits. This shall be in addition to any other remedies which may be available to the Company under the Non-Competition Agreement.</w:t>
      </w:r>
    </w:p>
    <w:p>
      <w:pPr>
        <w:spacing w:after="0" w:line="188" w:lineRule="exact"/>
        <w:rPr>
          <w:rFonts w:ascii="Arial" w:cs="Arial" w:eastAsia="Arial" w:hAnsi="Arial"/>
          <w:sz w:val="18"/>
          <w:szCs w:val="18"/>
          <w:color w:val="auto"/>
        </w:rPr>
      </w:pPr>
    </w:p>
    <w:p>
      <w:pPr>
        <w:ind w:left="1440" w:hanging="784"/>
        <w:spacing w:after="0"/>
        <w:tabs>
          <w:tab w:leader="none" w:pos="14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General Release</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right="200" w:firstLine="1305"/>
        <w:spacing w:after="0" w:line="306" w:lineRule="auto"/>
        <w:tabs>
          <w:tab w:leader="none" w:pos="2144" w:val="left"/>
        </w:tabs>
        <w:numPr>
          <w:ilvl w:val="2"/>
          <w:numId w:val="53"/>
        </w:numPr>
        <w:rPr>
          <w:rFonts w:ascii="Arial" w:cs="Arial" w:eastAsia="Arial" w:hAnsi="Arial"/>
          <w:sz w:val="18"/>
          <w:szCs w:val="18"/>
          <w:color w:val="auto"/>
        </w:rPr>
      </w:pPr>
      <w:r>
        <w:rPr>
          <w:rFonts w:ascii="Arial" w:cs="Arial" w:eastAsia="Arial" w:hAnsi="Arial"/>
          <w:sz w:val="18"/>
          <w:szCs w:val="18"/>
          <w:color w:val="auto"/>
        </w:rPr>
        <w:t>In exchange for the Company’s Severance Benefits described in Paragraph 2, you release and forever discharge, to the maximum extent permitted by law, the Company and each of the other “Releasees” as defined below, from any and all claims, causes of action, complaints, lawsuits, or liabilities of any kind (collectively, “Claims”) as described below which you, your heirs, agents, administrators, or executors have or may have against the Company or any of the other Releasees.</w:t>
      </w:r>
    </w:p>
    <w:p>
      <w:pPr>
        <w:spacing w:after="0" w:line="186" w:lineRule="exact"/>
        <w:rPr>
          <w:rFonts w:ascii="Arial" w:cs="Arial" w:eastAsia="Arial" w:hAnsi="Arial"/>
          <w:sz w:val="18"/>
          <w:szCs w:val="18"/>
          <w:color w:val="auto"/>
        </w:rPr>
      </w:pPr>
    </w:p>
    <w:p>
      <w:pPr>
        <w:ind w:left="80" w:firstLine="1198"/>
        <w:spacing w:after="0" w:line="301" w:lineRule="auto"/>
        <w:tabs>
          <w:tab w:leader="none" w:pos="2153" w:val="left"/>
        </w:tabs>
        <w:numPr>
          <w:ilvl w:val="1"/>
          <w:numId w:val="53"/>
        </w:numPr>
        <w:rPr>
          <w:rFonts w:ascii="Arial" w:cs="Arial" w:eastAsia="Arial" w:hAnsi="Arial"/>
          <w:sz w:val="18"/>
          <w:szCs w:val="18"/>
          <w:color w:val="auto"/>
        </w:rPr>
      </w:pPr>
      <w:r>
        <w:rPr>
          <w:rFonts w:ascii="Arial" w:cs="Arial" w:eastAsia="Arial" w:hAnsi="Arial"/>
          <w:sz w:val="18"/>
          <w:szCs w:val="18"/>
          <w:color w:val="auto"/>
        </w:rPr>
        <w:t>By agreeing to this General Release, you are waiving, to the maximum extent permitted by law, any and all Claims that you have or may have against the Company or any of the other Releasees arising out of or relating to your employment and/or the termination of your employment with the Company, including, but not limited to, the following: (i) any Claims for severance, benefits, bonuses, commissions, and/or other compensation of any kind; (ii) any Claims for reimbursement of expenses that are not submitted before the Termination Date; (iii) any Claims for attorneys’ fees or costs; (iv) any Claims under the Employee Retirement Income Security Act (“ERISA”); (v) any Claims of discrimination and/or harassment based on age, sex, pregnancy, race, religion, color, creed, disability, handicap, medical condition, failure to accommodate, citizenship, national origin, ancestry, marital status, sexual orientation, gender identity or expression, or any other factor protected by federal, state, or local law (such as the Age Discrimination in Employment Act, Title VII of the Civil</w:t>
      </w:r>
    </w:p>
    <w:p>
      <w:pPr>
        <w:sectPr>
          <w:pgSz w:w="11900" w:h="16838" w:orient="portrait"/>
          <w:cols w:equalWidth="0" w:num="1">
            <w:col w:w="11400"/>
          </w:cols>
          <w:pgMar w:left="240" w:top="611" w:right="259" w:bottom="1440" w:gutter="0" w:footer="0" w:header="0"/>
        </w:sectPr>
      </w:pPr>
    </w:p>
    <w:bookmarkStart w:id="70" w:name="page71"/>
    <w:bookmarkEnd w:id="70"/>
    <w:p>
      <w:pPr>
        <w:ind w:right="160"/>
        <w:spacing w:after="0" w:line="321" w:lineRule="auto"/>
        <w:rPr>
          <w:sz w:val="20"/>
          <w:szCs w:val="20"/>
          <w:color w:val="auto"/>
        </w:rPr>
      </w:pPr>
      <w:r>
        <w:rPr>
          <w:rFonts w:ascii="Arial" w:cs="Arial" w:eastAsia="Arial" w:hAnsi="Arial"/>
          <w:sz w:val="17"/>
          <w:szCs w:val="17"/>
          <w:color w:val="auto"/>
        </w:rPr>
        <w:t>Rights Act of 1964, the Americans with Disabilities Act, the Equal Pay Act, the Genetic Information Non-discrimination Act, and any state or local non-discrimination law or ordinance) and any Claims for retaliation under any of the foregoing laws; (vi) any Claims regarding leaves of absence including, but not limited to, any Claims under the Family and Medical Leave Act or similar state or local laws related to leaves; (vii) any Claims arising under the Uniformed Services Employment and Reemployment Rights Act (“USERRA”) or any state or local laws governing military leave; (viii) any Claims for wrongful discharge, violation of public policy, and breach of contract, implied contract, or the implied duty of good faith and fair dealing; (ix) any whistleblower or retaliation Claims; (x) any claims under the Worker Adjustment Retraining and Notification Act (“WARN”) or similar state or local laws; and/or (xi) any other statutory, regulatory, common law, or other Claims of any kind, including, but not limited to, Claims for libel, slander, fraud, promissory estoppel, equitable estoppel, invasion of privacy, misrepresentation, emotional distress, and pain and suffering.</w:t>
      </w:r>
    </w:p>
    <w:p>
      <w:pPr>
        <w:spacing w:after="0" w:line="177" w:lineRule="exact"/>
        <w:rPr>
          <w:sz w:val="20"/>
          <w:szCs w:val="20"/>
          <w:color w:val="auto"/>
        </w:rPr>
      </w:pPr>
    </w:p>
    <w:p>
      <w:pPr>
        <w:ind w:right="100" w:firstLine="1198"/>
        <w:spacing w:after="0" w:line="311" w:lineRule="auto"/>
        <w:tabs>
          <w:tab w:leader="none" w:pos="2063"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The term “Releasees” includes: the Company and any parent, subsidiary, related, or affiliated entities of the Company, and each of their past and present employees, officers, directors, attorneys, shareholders, partners, insurers, benefit plan fiduciaries and agents, and all of their respective successors and assigns.</w:t>
      </w:r>
    </w:p>
    <w:p>
      <w:pPr>
        <w:spacing w:after="0" w:line="154" w:lineRule="exact"/>
        <w:rPr>
          <w:rFonts w:ascii="Arial" w:cs="Arial" w:eastAsia="Arial" w:hAnsi="Arial"/>
          <w:sz w:val="18"/>
          <w:szCs w:val="18"/>
          <w:color w:val="auto"/>
        </w:rPr>
      </w:pPr>
    </w:p>
    <w:p>
      <w:pPr>
        <w:ind w:left="1600" w:hanging="375"/>
        <w:spacing w:after="0"/>
        <w:tabs>
          <w:tab w:leader="none" w:pos="1600" w:val="left"/>
        </w:tabs>
        <w:numPr>
          <w:ilvl w:val="2"/>
          <w:numId w:val="54"/>
        </w:numPr>
        <w:rPr>
          <w:rFonts w:ascii="Arial" w:cs="Arial" w:eastAsia="Arial" w:hAnsi="Arial"/>
          <w:sz w:val="16"/>
          <w:szCs w:val="16"/>
          <w:color w:val="auto"/>
        </w:rPr>
      </w:pPr>
      <w:r>
        <w:rPr>
          <w:rFonts w:ascii="Arial" w:cs="Arial" w:eastAsia="Arial" w:hAnsi="Arial"/>
          <w:sz w:val="16"/>
          <w:szCs w:val="16"/>
          <w:color w:val="auto"/>
        </w:rPr>
        <w:t>As of the date of this Agreement, the Company acknowledges that it does not know of any claim the Company may have against you.</w:t>
      </w:r>
    </w:p>
    <w:p>
      <w:pPr>
        <w:spacing w:after="0" w:line="275" w:lineRule="exact"/>
        <w:rPr>
          <w:rFonts w:ascii="Arial" w:cs="Arial" w:eastAsia="Arial" w:hAnsi="Arial"/>
          <w:sz w:val="16"/>
          <w:szCs w:val="16"/>
          <w:color w:val="auto"/>
        </w:rPr>
      </w:pPr>
    </w:p>
    <w:p>
      <w:pPr>
        <w:ind w:left="1360" w:hanging="784"/>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Non-Released Claims</w:t>
      </w:r>
      <w:r>
        <w:rPr>
          <w:rFonts w:ascii="Arial" w:cs="Arial" w:eastAsia="Arial" w:hAnsi="Arial"/>
          <w:sz w:val="18"/>
          <w:szCs w:val="18"/>
          <w:color w:val="auto"/>
        </w:rPr>
        <w:t>. The General Release by you in Paragraph 3 above does not apply to:</w:t>
      </w:r>
    </w:p>
    <w:p>
      <w:pPr>
        <w:spacing w:after="0" w:line="265" w:lineRule="exact"/>
        <w:rPr>
          <w:rFonts w:ascii="Arial" w:cs="Arial" w:eastAsia="Arial" w:hAnsi="Arial"/>
          <w:sz w:val="18"/>
          <w:szCs w:val="18"/>
          <w:color w:val="auto"/>
        </w:rPr>
      </w:pPr>
    </w:p>
    <w:p>
      <w:pPr>
        <w:ind w:right="160" w:firstLine="1198"/>
        <w:spacing w:after="0" w:line="336" w:lineRule="auto"/>
        <w:tabs>
          <w:tab w:leader="none" w:pos="2063" w:val="left"/>
        </w:tabs>
        <w:numPr>
          <w:ilvl w:val="1"/>
          <w:numId w:val="55"/>
        </w:numPr>
        <w:rPr>
          <w:rFonts w:ascii="Arial" w:cs="Arial" w:eastAsia="Arial" w:hAnsi="Arial"/>
          <w:sz w:val="17"/>
          <w:szCs w:val="17"/>
          <w:color w:val="auto"/>
        </w:rPr>
      </w:pPr>
      <w:r>
        <w:rPr>
          <w:rFonts w:ascii="Arial" w:cs="Arial" w:eastAsia="Arial" w:hAnsi="Arial"/>
          <w:sz w:val="17"/>
          <w:szCs w:val="17"/>
          <w:color w:val="auto"/>
        </w:rPr>
        <w:t>Any Claims for vested benefits under any Company qualified and/or non-qualified retirement, savings or other benefit plans in which you participate, for example, any claims under the Campbell Soup Company Retirement and Pension Plan, the Campbell Soup Company 401(k) Retirement Plan, the Pension Plan for Employees of Campbell Company of Canada and/or the Mid-Career Hire Pension Plan;</w:t>
      </w:r>
    </w:p>
    <w:p>
      <w:pPr>
        <w:spacing w:after="0" w:line="164" w:lineRule="exact"/>
        <w:rPr>
          <w:rFonts w:ascii="Arial" w:cs="Arial" w:eastAsia="Arial" w:hAnsi="Arial"/>
          <w:sz w:val="17"/>
          <w:szCs w:val="17"/>
          <w:color w:val="auto"/>
        </w:rPr>
      </w:pPr>
    </w:p>
    <w:p>
      <w:pPr>
        <w:ind w:right="540" w:firstLine="1198"/>
        <w:spacing w:after="0" w:line="324" w:lineRule="auto"/>
        <w:tabs>
          <w:tab w:leader="none" w:pos="207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Claims to require the Company to honor its commitments set forth in this Agreement or to interpret or determine the enforceability, scope, meaning, or effect of this Agreement;</w:t>
      </w:r>
    </w:p>
    <w:p>
      <w:pPr>
        <w:spacing w:after="0" w:line="170" w:lineRule="exact"/>
        <w:rPr>
          <w:rFonts w:ascii="Arial" w:cs="Arial" w:eastAsia="Arial" w:hAnsi="Arial"/>
          <w:sz w:val="18"/>
          <w:szCs w:val="18"/>
          <w:color w:val="auto"/>
        </w:rPr>
      </w:pPr>
    </w:p>
    <w:p>
      <w:pPr>
        <w:ind w:left="2060" w:hanging="862"/>
        <w:spacing w:after="0"/>
        <w:tabs>
          <w:tab w:leader="none" w:pos="2060"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Claims arising after you have signed this Agreement; and</w:t>
      </w:r>
    </w:p>
    <w:p>
      <w:pPr>
        <w:spacing w:after="0" w:line="265" w:lineRule="exact"/>
        <w:rPr>
          <w:rFonts w:ascii="Arial" w:cs="Arial" w:eastAsia="Arial" w:hAnsi="Arial"/>
          <w:sz w:val="18"/>
          <w:szCs w:val="18"/>
          <w:color w:val="auto"/>
        </w:rPr>
      </w:pPr>
    </w:p>
    <w:p>
      <w:pPr>
        <w:ind w:right="240" w:firstLine="1198"/>
        <w:spacing w:after="0" w:line="324" w:lineRule="auto"/>
        <w:tabs>
          <w:tab w:leader="none" w:pos="2073"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Claims for workers’ compensation benefits, any Claims for unemployment compensation benefits, and any other Claims that cannot be waived by a General Release.</w:t>
      </w:r>
    </w:p>
    <w:p>
      <w:pPr>
        <w:spacing w:after="0" w:line="170" w:lineRule="exact"/>
        <w:rPr>
          <w:rFonts w:ascii="Arial" w:cs="Arial" w:eastAsia="Arial" w:hAnsi="Arial"/>
          <w:sz w:val="18"/>
          <w:szCs w:val="18"/>
          <w:color w:val="auto"/>
        </w:rPr>
      </w:pPr>
    </w:p>
    <w:p>
      <w:pPr>
        <w:ind w:left="-80" w:right="40" w:firstLine="1305"/>
        <w:spacing w:after="0" w:line="324" w:lineRule="auto"/>
        <w:tabs>
          <w:tab w:leader="none" w:pos="2064" w:val="left"/>
        </w:tabs>
        <w:numPr>
          <w:ilvl w:val="2"/>
          <w:numId w:val="55"/>
        </w:numPr>
        <w:rPr>
          <w:rFonts w:ascii="Arial" w:cs="Arial" w:eastAsia="Arial" w:hAnsi="Arial"/>
          <w:sz w:val="18"/>
          <w:szCs w:val="18"/>
          <w:color w:val="auto"/>
        </w:rPr>
      </w:pPr>
      <w:r>
        <w:rPr>
          <w:rFonts w:ascii="Arial" w:cs="Arial" w:eastAsia="Arial" w:hAnsi="Arial"/>
          <w:sz w:val="18"/>
          <w:szCs w:val="18"/>
          <w:color w:val="auto"/>
        </w:rPr>
        <w:t>Your right to be indemnified for third-party claims pursuant to the Company’s bylaws or applicable law (including advancement of expenses) and/or to be covered under any applicable directors’ and officers’ liability insurance policies.</w:t>
      </w:r>
    </w:p>
    <w:p>
      <w:pPr>
        <w:spacing w:after="0" w:line="170" w:lineRule="exact"/>
        <w:rPr>
          <w:rFonts w:ascii="Arial" w:cs="Arial" w:eastAsia="Arial" w:hAnsi="Arial"/>
          <w:sz w:val="18"/>
          <w:szCs w:val="18"/>
          <w:color w:val="auto"/>
        </w:rPr>
      </w:pPr>
    </w:p>
    <w:p>
      <w:pPr>
        <w:ind w:left="-80" w:firstLine="656"/>
        <w:spacing w:after="0" w:line="346" w:lineRule="auto"/>
        <w:tabs>
          <w:tab w:leader="none" w:pos="1351"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Retained Rights</w:t>
      </w:r>
      <w:r>
        <w:rPr>
          <w:rFonts w:ascii="Arial" w:cs="Arial" w:eastAsia="Arial" w:hAnsi="Arial"/>
          <w:sz w:val="16"/>
          <w:szCs w:val="16"/>
          <w:color w:val="auto"/>
        </w:rPr>
        <w:t>. As noted above, you retain certain important rights under this Agreement. Regardless of whether or not you sign this Agreement, nothing in this Agreement is intended to or shall be interpreted to restrict or otherwise interfere with: (i) your obligation to testify truthfully in any forum; (ii) your right and/or obligation to contact, cooperate with, or provide information to - or testify or otherwise participate in any action, investigation, or proceeding of - any federal, state, or local government agency or commission (including, but not limited to, the EEOC or the SEC); or (iii) your right to disclose any information or produce any documents as is required by law or legal process. Further, the General Release in Paragraph 3 does not prevent you from contacting or filing a charge with any federal, state, or local government agency or commission (including, but not limited to, the EEOC or the SEC).</w:t>
      </w:r>
    </w:p>
    <w:p>
      <w:pPr>
        <w:spacing w:after="0" w:line="164" w:lineRule="exact"/>
        <w:rPr>
          <w:rFonts w:ascii="Arial" w:cs="Arial" w:eastAsia="Arial" w:hAnsi="Arial"/>
          <w:sz w:val="16"/>
          <w:szCs w:val="16"/>
          <w:color w:val="auto"/>
        </w:rPr>
      </w:pPr>
    </w:p>
    <w:p>
      <w:pPr>
        <w:ind w:left="-80" w:right="60" w:firstLine="656"/>
        <w:spacing w:after="0" w:line="304" w:lineRule="auto"/>
        <w:tabs>
          <w:tab w:leader="none" w:pos="1351"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Prior Acts</w:t>
      </w:r>
      <w:r>
        <w:rPr>
          <w:rFonts w:ascii="Arial" w:cs="Arial" w:eastAsia="Arial" w:hAnsi="Arial"/>
          <w:sz w:val="18"/>
          <w:szCs w:val="18"/>
          <w:color w:val="auto"/>
        </w:rPr>
        <w:t>. It is acknowledged, understood and agreed by you that should Campbell discover that you have engaged in any unethical, dishonest or fraudulent act which harms, or has harmed the Company (or any affiliated corporate entity), the Company reserves the right, in its sole discretion, to terminate or suspend all payments or benefits remaining to be paid by the Company under Paragraph 2 of this Agreement; however, the General Release in Paragraph 3 above shall remain in full force and effect. In addition, the Company may seek all other remedies and relief allowed by law, including but not limited to the return of any payments made under this Agreement.</w:t>
      </w:r>
    </w:p>
    <w:p>
      <w:pPr>
        <w:spacing w:after="0" w:line="188" w:lineRule="exact"/>
        <w:rPr>
          <w:rFonts w:ascii="Arial" w:cs="Arial" w:eastAsia="Arial" w:hAnsi="Arial"/>
          <w:sz w:val="18"/>
          <w:szCs w:val="18"/>
          <w:color w:val="auto"/>
        </w:rPr>
      </w:pPr>
    </w:p>
    <w:p>
      <w:pPr>
        <w:ind w:left="1360" w:hanging="784"/>
        <w:spacing w:after="0"/>
        <w:tabs>
          <w:tab w:leader="none" w:pos="136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Confidential Information</w:t>
      </w:r>
      <w:r>
        <w:rPr>
          <w:rFonts w:ascii="Arial" w:cs="Arial" w:eastAsia="Arial" w:hAnsi="Arial"/>
          <w:sz w:val="18"/>
          <w:szCs w:val="18"/>
          <w:color w:val="auto"/>
        </w:rPr>
        <w:t>.</w:t>
      </w:r>
    </w:p>
    <w:p>
      <w:pPr>
        <w:spacing w:after="0" w:line="265" w:lineRule="exact"/>
        <w:rPr>
          <w:rFonts w:ascii="Arial" w:cs="Arial" w:eastAsia="Arial" w:hAnsi="Arial"/>
          <w:sz w:val="18"/>
          <w:szCs w:val="18"/>
          <w:color w:val="auto"/>
        </w:rPr>
      </w:pPr>
    </w:p>
    <w:p>
      <w:pPr>
        <w:ind w:left="-80" w:right="40" w:firstLine="1305"/>
        <w:spacing w:after="0" w:line="306" w:lineRule="auto"/>
        <w:tabs>
          <w:tab w:leader="none" w:pos="2064" w:val="left"/>
        </w:tabs>
        <w:numPr>
          <w:ilvl w:val="2"/>
          <w:numId w:val="56"/>
        </w:numPr>
        <w:rPr>
          <w:rFonts w:ascii="Arial" w:cs="Arial" w:eastAsia="Arial" w:hAnsi="Arial"/>
          <w:sz w:val="18"/>
          <w:szCs w:val="18"/>
          <w:color w:val="auto"/>
        </w:rPr>
      </w:pPr>
      <w:r>
        <w:rPr>
          <w:rFonts w:ascii="Arial" w:cs="Arial" w:eastAsia="Arial" w:hAnsi="Arial"/>
          <w:sz w:val="18"/>
          <w:szCs w:val="18"/>
          <w:u w:val="single" w:color="auto"/>
          <w:color w:val="auto"/>
        </w:rPr>
        <w:t>Duty to Retain as Confidential</w:t>
      </w:r>
      <w:r>
        <w:rPr>
          <w:rFonts w:ascii="Arial" w:cs="Arial" w:eastAsia="Arial" w:hAnsi="Arial"/>
          <w:sz w:val="18"/>
          <w:szCs w:val="18"/>
          <w:color w:val="auto"/>
        </w:rPr>
        <w:t>. You acknowledge and agree that, in the course of your employment with the Company, you may have created and/or acquired confidential and/or proprietary information relating to the business of the Company and/or any parent, subsidiary, related, or affiliated company which is not known by or generally accessible to the public. You expressly agree that you will keep secret and safeguard all such information, and will not, at any time, in any form</w:t>
      </w:r>
    </w:p>
    <w:p>
      <w:pPr>
        <w:sectPr>
          <w:pgSz w:w="11900" w:h="16838" w:orient="portrait"/>
          <w:cols w:equalWidth="0" w:num="1">
            <w:col w:w="11340"/>
          </w:cols>
          <w:pgMar w:left="320" w:top="611" w:right="239" w:bottom="1440" w:gutter="0" w:footer="0" w:header="0"/>
        </w:sectPr>
      </w:pPr>
    </w:p>
    <w:bookmarkStart w:id="71" w:name="page72"/>
    <w:bookmarkEnd w:id="71"/>
    <w:p>
      <w:pPr>
        <w:ind w:right="80"/>
        <w:spacing w:after="0" w:line="321" w:lineRule="auto"/>
        <w:rPr>
          <w:sz w:val="20"/>
          <w:szCs w:val="20"/>
          <w:color w:val="auto"/>
        </w:rPr>
      </w:pPr>
      <w:r>
        <w:rPr>
          <w:rFonts w:ascii="Arial" w:cs="Arial" w:eastAsia="Arial" w:hAnsi="Arial"/>
          <w:sz w:val="17"/>
          <w:szCs w:val="17"/>
          <w:color w:val="auto"/>
        </w:rPr>
        <w:t>or manner, directly or indirectly, divulge, disclose, or communicate to any person, firm, corporation, or other entity any such information without the direct written authority of the Company. More specifically, this Agreement incorporates by reference all of the provisions of the Non-Competition Agreement. Because of the importance of this provision to the successful conduct of the Company and its good will, you agree that if you use or disclose, or threaten to use or disclose, confidential and/or proprietary information in violation of this Agreement, the Company will have available, in addition to any other right or remedy available, the right to obtain injunctive and equitable relief of any type from a court of competent jurisdiction, including but not limited to restraining such breach or threatened breach. Notwithstanding the foregoing, you shall be permitted to disclose confidential and/or proprietary information (i) to the extent required by law or by any court or governmental or regulatory body or agency, or (ii) in connection with any Claim to enforce, interpret or determine the scope, meaning or effect of this Agreement.</w:t>
      </w:r>
    </w:p>
    <w:p>
      <w:pPr>
        <w:spacing w:after="0" w:line="177" w:lineRule="exact"/>
        <w:rPr>
          <w:sz w:val="20"/>
          <w:szCs w:val="20"/>
          <w:color w:val="auto"/>
        </w:rPr>
      </w:pPr>
    </w:p>
    <w:p>
      <w:pPr>
        <w:ind w:firstLine="1305"/>
        <w:spacing w:after="0" w:line="321" w:lineRule="auto"/>
        <w:tabs>
          <w:tab w:leader="none" w:pos="2155" w:val="left"/>
        </w:tabs>
        <w:numPr>
          <w:ilvl w:val="1"/>
          <w:numId w:val="57"/>
        </w:numPr>
        <w:rPr>
          <w:rFonts w:ascii="Arial" w:cs="Arial" w:eastAsia="Arial" w:hAnsi="Arial"/>
          <w:sz w:val="17"/>
          <w:szCs w:val="17"/>
          <w:color w:val="auto"/>
        </w:rPr>
      </w:pPr>
      <w:r>
        <w:rPr>
          <w:rFonts w:ascii="Arial" w:cs="Arial" w:eastAsia="Arial" w:hAnsi="Arial"/>
          <w:sz w:val="17"/>
          <w:szCs w:val="17"/>
          <w:u w:val="single" w:color="auto"/>
          <w:color w:val="auto"/>
        </w:rPr>
        <w:t>Duty to Notify</w:t>
      </w:r>
      <w:r>
        <w:rPr>
          <w:rFonts w:ascii="Arial" w:cs="Arial" w:eastAsia="Arial" w:hAnsi="Arial"/>
          <w:sz w:val="17"/>
          <w:szCs w:val="17"/>
          <w:color w:val="auto"/>
        </w:rPr>
        <w:t>. In the event you receive a request or demand, orally, in writing, electronically, or otherwise, for the disclosure or production of confidential and/or proprietary information which you created or acquired in the course of your employment, unless prohibited by law or regulation, you must notify immediately the Company’s Chief Legal Officer, by calling him/her at the following phone number: 856-342-6125. Regardless of whether you are successful in reaching him/her by telephone, unless prohibited by law or regulation, you also must notify him/her immediately in writing, via certified mail, at the following address: Chief Legal Officer, Campbell Soup Company, 1 Campbell Place, Camden, NJ 08103-1799. A copy of the request or demand shall be included with the written notification. You shall wait a minimum of ten (10) days (or the maximum time permitted by such legal process, if less) after sending the letter before making a disclosure or production to give the Company time to seek to prohibit and/or restrict the production and/or disclosure and/or to obtain a protective order with regard thereto.</w:t>
      </w:r>
    </w:p>
    <w:p>
      <w:pPr>
        <w:spacing w:after="0" w:line="177" w:lineRule="exact"/>
        <w:rPr>
          <w:rFonts w:ascii="Arial" w:cs="Arial" w:eastAsia="Arial" w:hAnsi="Arial"/>
          <w:sz w:val="17"/>
          <w:szCs w:val="17"/>
          <w:color w:val="auto"/>
        </w:rPr>
      </w:pPr>
    </w:p>
    <w:p>
      <w:pPr>
        <w:ind w:right="100" w:firstLine="656"/>
        <w:spacing w:after="0" w:line="302" w:lineRule="auto"/>
        <w:tabs>
          <w:tab w:leader="none" w:pos="143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Company Property and Documents</w:t>
      </w:r>
      <w:r>
        <w:rPr>
          <w:rFonts w:ascii="Arial" w:cs="Arial" w:eastAsia="Arial" w:hAnsi="Arial"/>
          <w:sz w:val="18"/>
          <w:szCs w:val="18"/>
          <w:color w:val="auto"/>
        </w:rPr>
        <w:t>. Regardless of whether you sign this Agreement, and as a condition of receiving the Severance Benefits set forth in Paragraph 2 above, you must return, retaining no copies, all Company property (including, but not limited to, office, desk, or file cabinet keys, Company identification/pass cards, Company-provided credit cards, and Company equipment, such as computers, tablets, and mobile phones) and all Company documents (including, but not limited to, all hard copy, electronic and other files, forms, lists, charts, photographs, correspondence, computer records, programs, notes, memos, disks, DVDs, etc.). Notwithstanding anything to the contrary herein or otherwise (including the Non-Competition Agreement), you shall be permitted to retain information (including copies of plans and agreements) relating to your compensation and/or reimbursement of business expenses and/or your contact lists.</w:t>
      </w:r>
    </w:p>
    <w:p>
      <w:pPr>
        <w:spacing w:after="0" w:line="189" w:lineRule="exact"/>
        <w:rPr>
          <w:rFonts w:ascii="Arial" w:cs="Arial" w:eastAsia="Arial" w:hAnsi="Arial"/>
          <w:sz w:val="18"/>
          <w:szCs w:val="18"/>
          <w:color w:val="auto"/>
        </w:rPr>
      </w:pPr>
    </w:p>
    <w:p>
      <w:pPr>
        <w:ind w:right="40" w:firstLine="656"/>
        <w:spacing w:after="0" w:line="322" w:lineRule="auto"/>
        <w:tabs>
          <w:tab w:leader="none" w:pos="1431"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Confidentiality of this Agreement</w:t>
      </w:r>
      <w:r>
        <w:rPr>
          <w:rFonts w:ascii="Arial" w:cs="Arial" w:eastAsia="Arial" w:hAnsi="Arial"/>
          <w:sz w:val="17"/>
          <w:szCs w:val="17"/>
          <w:color w:val="auto"/>
        </w:rPr>
        <w:t>. Unless and until the Company publicly discloses this Agreement, you agree that, at all times, the existence, terms, and conditions of this Agreement will be kept secret and confidential and will not be disclosed voluntarily to any third party, except: (i) to your spouse, domestic partner, civil union partner, or immediate family member, if applicable; (ii) to the extent required by law; (iii) in connection with any Claim to enforce, interpret, or determine the scope, meaning, enforceability, or effect of the Agreement; (iv) to obtain confidential legal, tax, or financial advice with respect thereto; (v) in connection with any of your Retained Rights as set forth in Paragraph 5 above; or (vi) to any prospective employer but only with respect to the restrictions, if any, on your activities following May 1, 2018 (which permission shall also extend to the Non-Competition Agreement). However, you may reference this provision to explain your non-disclosure of this Agreement.</w:t>
      </w:r>
    </w:p>
    <w:p>
      <w:pPr>
        <w:spacing w:after="0" w:line="176" w:lineRule="exact"/>
        <w:rPr>
          <w:rFonts w:ascii="Arial" w:cs="Arial" w:eastAsia="Arial" w:hAnsi="Arial"/>
          <w:sz w:val="17"/>
          <w:szCs w:val="17"/>
          <w:color w:val="auto"/>
        </w:rPr>
      </w:pPr>
    </w:p>
    <w:p>
      <w:pPr>
        <w:ind w:right="40" w:firstLine="656"/>
        <w:spacing w:after="0" w:line="302" w:lineRule="auto"/>
        <w:tabs>
          <w:tab w:leader="none" w:pos="152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Non-Disparagement</w:t>
      </w:r>
      <w:r>
        <w:rPr>
          <w:rFonts w:ascii="Arial" w:cs="Arial" w:eastAsia="Arial" w:hAnsi="Arial"/>
          <w:sz w:val="18"/>
          <w:szCs w:val="18"/>
          <w:color w:val="auto"/>
        </w:rPr>
        <w:t>. You agree that you will not make any negative comments or disparaging remarks, in writing, orally, or electronically, about the Company or any past or present director, officer or employee of the Company or its subsidiaries or affiliates. This restriction is subject to and limited by your Retained Rights in Paragraph 5 above. However, nothing in this Agreement is intended or shall be interpreted to restrict any party’s right or obligation (i) to testify truthfully in any forum; (ii) for you, to make truthful statements in connection with any cooperation provided by you under Paragraph 18 below; or (iii) to make any truthful statement in connection with any Claim to enforce, interpret or determine the scope, meaning or effect of this Agreement.</w:t>
      </w:r>
    </w:p>
    <w:p>
      <w:pPr>
        <w:spacing w:after="0" w:line="192" w:lineRule="exact"/>
        <w:rPr>
          <w:rFonts w:ascii="Arial" w:cs="Arial" w:eastAsia="Arial" w:hAnsi="Arial"/>
          <w:sz w:val="18"/>
          <w:szCs w:val="18"/>
          <w:color w:val="auto"/>
        </w:rPr>
      </w:pPr>
    </w:p>
    <w:p>
      <w:pPr>
        <w:ind w:right="20" w:firstLine="656"/>
        <w:spacing w:after="0" w:line="311" w:lineRule="auto"/>
        <w:tabs>
          <w:tab w:leader="none" w:pos="1515"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References</w:t>
      </w:r>
      <w:r>
        <w:rPr>
          <w:rFonts w:ascii="Arial" w:cs="Arial" w:eastAsia="Arial" w:hAnsi="Arial"/>
          <w:sz w:val="18"/>
          <w:szCs w:val="18"/>
          <w:color w:val="auto"/>
        </w:rPr>
        <w:t>. You agree that you will direct any and all prospective employers seeking a reference to contact only persons employed in the Company’s Human Resources Department. The Human Resources Department shall provide a neutral reference only (dates of employment and title of last position held).</w:t>
      </w:r>
    </w:p>
    <w:p>
      <w:pPr>
        <w:spacing w:after="0" w:line="181" w:lineRule="exact"/>
        <w:rPr>
          <w:rFonts w:ascii="Arial" w:cs="Arial" w:eastAsia="Arial" w:hAnsi="Arial"/>
          <w:sz w:val="18"/>
          <w:szCs w:val="18"/>
          <w:color w:val="auto"/>
        </w:rPr>
      </w:pPr>
    </w:p>
    <w:p>
      <w:pPr>
        <w:ind w:left="1520" w:hanging="864"/>
        <w:spacing w:after="0"/>
        <w:tabs>
          <w:tab w:leader="none" w:pos="1520" w:val="left"/>
        </w:tabs>
        <w:numPr>
          <w:ilvl w:val="0"/>
          <w:numId w:val="58"/>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shall be governed by and construed in accordance with the laws of the State of New Jersey.</w:t>
      </w:r>
    </w:p>
    <w:p>
      <w:pPr>
        <w:spacing w:after="0" w:line="277" w:lineRule="exact"/>
        <w:rPr>
          <w:rFonts w:ascii="Arial" w:cs="Arial" w:eastAsia="Arial" w:hAnsi="Arial"/>
          <w:sz w:val="17"/>
          <w:szCs w:val="17"/>
          <w:color w:val="auto"/>
        </w:rPr>
      </w:pPr>
    </w:p>
    <w:p>
      <w:pPr>
        <w:ind w:right="180" w:firstLine="656"/>
        <w:spacing w:after="0" w:line="324" w:lineRule="auto"/>
        <w:tabs>
          <w:tab w:leader="none" w:pos="1521" w:val="left"/>
        </w:tabs>
        <w:numPr>
          <w:ilvl w:val="0"/>
          <w:numId w:val="58"/>
        </w:numPr>
        <w:rPr>
          <w:rFonts w:ascii="Arial" w:cs="Arial" w:eastAsia="Arial" w:hAnsi="Arial"/>
          <w:sz w:val="18"/>
          <w:szCs w:val="18"/>
          <w:color w:val="auto"/>
        </w:rPr>
      </w:pPr>
      <w:r>
        <w:rPr>
          <w:rFonts w:ascii="Arial" w:cs="Arial" w:eastAsia="Arial" w:hAnsi="Arial"/>
          <w:sz w:val="18"/>
          <w:szCs w:val="18"/>
          <w:u w:val="single" w:color="auto"/>
          <w:color w:val="auto"/>
        </w:rPr>
        <w:t>Statement of Non-Admission</w:t>
      </w:r>
      <w:r>
        <w:rPr>
          <w:rFonts w:ascii="Arial" w:cs="Arial" w:eastAsia="Arial" w:hAnsi="Arial"/>
          <w:sz w:val="18"/>
          <w:szCs w:val="18"/>
          <w:color w:val="auto"/>
        </w:rPr>
        <w:t>. Nothing in this Agreement is intended as or shall be construed as an admission or concession of liability or wrongdoing by the Company or any other Releasee as defined above, or by you. Rather, the</w:t>
      </w:r>
    </w:p>
    <w:p>
      <w:pPr>
        <w:sectPr>
          <w:pgSz w:w="11900" w:h="16838" w:orient="portrait"/>
          <w:cols w:equalWidth="0" w:num="1">
            <w:col w:w="11420"/>
          </w:cols>
          <w:pgMar w:left="240" w:top="611" w:right="239" w:bottom="1440" w:gutter="0" w:footer="0" w:header="0"/>
        </w:sectPr>
      </w:pPr>
    </w:p>
    <w:bookmarkStart w:id="72" w:name="page73"/>
    <w:bookmarkEnd w:id="72"/>
    <w:p>
      <w:pPr>
        <w:spacing w:after="0"/>
        <w:rPr>
          <w:sz w:val="20"/>
          <w:szCs w:val="20"/>
          <w:color w:val="auto"/>
        </w:rPr>
      </w:pPr>
      <w:r>
        <w:rPr>
          <w:rFonts w:ascii="Arial" w:cs="Arial" w:eastAsia="Arial" w:hAnsi="Arial"/>
          <w:sz w:val="17"/>
          <w:szCs w:val="17"/>
          <w:color w:val="auto"/>
        </w:rPr>
        <w:t>proposed Agreement is being offered for the sole purpose of settling cooperatively and amicably any and all possible disputes between the parties.</w:t>
      </w:r>
    </w:p>
    <w:p>
      <w:pPr>
        <w:spacing w:after="0" w:line="277" w:lineRule="exact"/>
        <w:rPr>
          <w:sz w:val="20"/>
          <w:szCs w:val="20"/>
          <w:color w:val="auto"/>
        </w:rPr>
      </w:pPr>
    </w:p>
    <w:p>
      <w:pPr>
        <w:ind w:right="160" w:firstLine="656"/>
        <w:spacing w:after="0" w:line="302" w:lineRule="auto"/>
        <w:tabs>
          <w:tab w:leader="none" w:pos="152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Interpretation of Agreement</w:t>
      </w:r>
      <w:r>
        <w:rPr>
          <w:rFonts w:ascii="Arial" w:cs="Arial" w:eastAsia="Arial" w:hAnsi="Arial"/>
          <w:sz w:val="18"/>
          <w:szCs w:val="18"/>
          <w:color w:val="auto"/>
        </w:rPr>
        <w:t>. Nothing in this Agreement is intended to violate any law or shall be interpreted to violate any law. If any part of this Agreement or the application thereof is construed to be overbroad and/or unenforceable, then the court making such determination shall have the authority to narrow the part as necessary to make it enforceable and the part(s) shall then be enforceable in its/their narrowed form. Moreover, each paragraph, part, or subpart of each paragraph in this Agreement is independent of and severable (separate) from each other. In the event that any part of this Agreement shall be found to be unenforceable or invalid by a court and is not modified by a court to be enforceable, the remaining provisions shall not be affected and shall continue to be binding.</w:t>
      </w:r>
    </w:p>
    <w:p>
      <w:pPr>
        <w:spacing w:after="0" w:line="192" w:lineRule="exact"/>
        <w:rPr>
          <w:rFonts w:ascii="Arial" w:cs="Arial" w:eastAsia="Arial" w:hAnsi="Arial"/>
          <w:sz w:val="18"/>
          <w:szCs w:val="18"/>
          <w:color w:val="auto"/>
        </w:rPr>
      </w:pPr>
    </w:p>
    <w:p>
      <w:pPr>
        <w:ind w:right="40" w:firstLine="656"/>
        <w:spacing w:after="0" w:line="306" w:lineRule="auto"/>
        <w:tabs>
          <w:tab w:leader="none" w:pos="1521" w:val="left"/>
        </w:tabs>
        <w:numPr>
          <w:ilvl w:val="1"/>
          <w:numId w:val="59"/>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constitutes the entire agreement between the parties and supersedes any and all prior representations, agreements, written or oral, expressed or implied, except for the Non-Competition Agreement referenced in Paragraph 1(f) above which survives the termination of your employment and is incorporated herein by reference. This Agreement may not be modified or amended other than by an agreement in writing signed by an officer of the Company and you.</w:t>
      </w:r>
    </w:p>
    <w:p>
      <w:pPr>
        <w:spacing w:after="0" w:line="186" w:lineRule="exact"/>
        <w:rPr>
          <w:rFonts w:ascii="Arial" w:cs="Arial" w:eastAsia="Arial" w:hAnsi="Arial"/>
          <w:sz w:val="18"/>
          <w:szCs w:val="18"/>
          <w:color w:val="auto"/>
        </w:rPr>
      </w:pPr>
    </w:p>
    <w:p>
      <w:pPr>
        <w:ind w:left="1520" w:hanging="864"/>
        <w:spacing w:after="0"/>
        <w:tabs>
          <w:tab w:leader="none" w:pos="1520" w:val="left"/>
        </w:tabs>
        <w:numPr>
          <w:ilvl w:val="1"/>
          <w:numId w:val="59"/>
        </w:numPr>
        <w:rPr>
          <w:rFonts w:ascii="Arial" w:cs="Arial" w:eastAsia="Arial" w:hAnsi="Arial"/>
          <w:sz w:val="16"/>
          <w:szCs w:val="16"/>
          <w:color w:val="auto"/>
        </w:rPr>
      </w:pPr>
      <w:r>
        <w:rPr>
          <w:rFonts w:ascii="Arial" w:cs="Arial" w:eastAsia="Arial" w:hAnsi="Arial"/>
          <w:sz w:val="16"/>
          <w:szCs w:val="16"/>
          <w:u w:val="single" w:color="auto"/>
          <w:color w:val="auto"/>
        </w:rPr>
        <w:t>Representations</w:t>
      </w:r>
      <w:r>
        <w:rPr>
          <w:rFonts w:ascii="Arial" w:cs="Arial" w:eastAsia="Arial" w:hAnsi="Arial"/>
          <w:sz w:val="16"/>
          <w:szCs w:val="16"/>
          <w:color w:val="auto"/>
        </w:rPr>
        <w:t>. You agree and represent that: (a) you have read carefully the terms of this Agreement, including the General Release;</w:t>
      </w:r>
    </w:p>
    <w:p>
      <w:pPr>
        <w:spacing w:after="0" w:line="72" w:lineRule="exact"/>
        <w:rPr>
          <w:rFonts w:ascii="Arial" w:cs="Arial" w:eastAsia="Arial" w:hAnsi="Arial"/>
          <w:sz w:val="16"/>
          <w:szCs w:val="16"/>
          <w:color w:val="auto"/>
        </w:rPr>
      </w:pPr>
    </w:p>
    <w:p>
      <w:pPr>
        <w:ind w:right="140" w:firstLine="8"/>
        <w:spacing w:after="0" w:line="346" w:lineRule="auto"/>
        <w:tabs>
          <w:tab w:leader="none" w:pos="255" w:val="left"/>
        </w:tabs>
        <w:numPr>
          <w:ilvl w:val="0"/>
          <w:numId w:val="60"/>
        </w:numPr>
        <w:rPr>
          <w:rFonts w:ascii="Arial" w:cs="Arial" w:eastAsia="Arial" w:hAnsi="Arial"/>
          <w:sz w:val="16"/>
          <w:szCs w:val="16"/>
          <w:color w:val="auto"/>
        </w:rPr>
      </w:pPr>
      <w:r>
        <w:rPr>
          <w:rFonts w:ascii="Arial" w:cs="Arial" w:eastAsia="Arial" w:hAnsi="Arial"/>
          <w:sz w:val="16"/>
          <w:szCs w:val="16"/>
          <w:color w:val="auto"/>
        </w:rPr>
        <w:t>you have had an opportunity to and have been encouraged to review this Agreement, including the General Release, with an attorney; (c) you understand the meaning and effect of the terms of this Agreement, including the General Release; (d) you were given forty-five (45) days to determine whether you wished to sign this Agreement; (e) your decision to sign this Agreement, including the General Release, is of your own free and voluntary act without compulsion of any kind; (f) no promise or inducement not expressed in this Agreement has been made to you; (g) you understand that you are waiving your Claims as set forth in Paragraph 3 above, including, but not limited to, any Claims for age discrimination under the Age Discrimination in Employment Act; and (h) you have adequate information to make a knowing and voluntary waiver of any and all Claims as set forth in Paragraph 3 above.</w:t>
      </w:r>
    </w:p>
    <w:p>
      <w:pPr>
        <w:spacing w:after="0" w:line="164" w:lineRule="exact"/>
        <w:rPr>
          <w:rFonts w:ascii="Arial" w:cs="Arial" w:eastAsia="Arial" w:hAnsi="Arial"/>
          <w:sz w:val="16"/>
          <w:szCs w:val="16"/>
          <w:color w:val="auto"/>
        </w:rPr>
      </w:pPr>
    </w:p>
    <w:p>
      <w:pPr>
        <w:ind w:right="20" w:firstLine="656"/>
        <w:spacing w:after="0" w:line="252" w:lineRule="exact"/>
        <w:tabs>
          <w:tab w:leader="none" w:pos="1521"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Revocation Period</w:t>
      </w:r>
      <w:r>
        <w:rPr>
          <w:rFonts w:ascii="Arial" w:cs="Arial" w:eastAsia="Arial" w:hAnsi="Arial"/>
          <w:sz w:val="18"/>
          <w:szCs w:val="18"/>
          <w:color w:val="auto"/>
        </w:rPr>
        <w:t>. If you sign this Agreement, you will retain the right to revoke it for seven (7) days. This Agreement is not effective or enforceable until after the Revocation Period has expired without your having revoked it. To revoke this Agreement, you must send a certified letter to my attention at the following address: 1 Campbell Place, Camden, NJ 08103. The letter must be post</w:t>
      </w:r>
      <w:r>
        <w:rPr>
          <w:rFonts w:ascii="MS PGothic" w:cs="MS PGothic" w:eastAsia="MS PGothic" w:hAnsi="MS PGothic"/>
          <w:sz w:val="18"/>
          <w:szCs w:val="18"/>
          <w:color w:val="auto"/>
        </w:rPr>
        <w:t>‑</w:t>
      </w:r>
      <w:r>
        <w:rPr>
          <w:rFonts w:ascii="Arial" w:cs="Arial" w:eastAsia="Arial" w:hAnsi="Arial"/>
          <w:sz w:val="18"/>
          <w:szCs w:val="18"/>
          <w:color w:val="auto"/>
        </w:rPr>
        <w:t>marked within seven (7) days of your execution of this Agreement. If the seventh day is a Sunday or federal holiday, then the letter must be post-marked on the following business day. If you revoke this Agreement on a timely basis, you are indicating that you do not want to be legally bound by this Agreement and, as a result, you shall not be eligible for the Severance Benefits set forth in Paragraph 2.</w:t>
      </w:r>
    </w:p>
    <w:p>
      <w:pPr>
        <w:spacing w:after="0" w:line="244" w:lineRule="exact"/>
        <w:rPr>
          <w:rFonts w:ascii="Arial" w:cs="Arial" w:eastAsia="Arial" w:hAnsi="Arial"/>
          <w:sz w:val="18"/>
          <w:szCs w:val="18"/>
          <w:color w:val="auto"/>
        </w:rPr>
      </w:pPr>
    </w:p>
    <w:p>
      <w:pPr>
        <w:ind w:firstLine="656"/>
        <w:spacing w:after="0" w:line="323" w:lineRule="auto"/>
        <w:tabs>
          <w:tab w:leader="none" w:pos="1521"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Cooperation</w:t>
      </w:r>
      <w:r>
        <w:rPr>
          <w:rFonts w:ascii="Arial" w:cs="Arial" w:eastAsia="Arial" w:hAnsi="Arial"/>
          <w:sz w:val="17"/>
          <w:szCs w:val="17"/>
          <w:color w:val="auto"/>
        </w:rPr>
        <w:t>. Taking into account your business and personal commitments and provided such cooperation is not adverse to your legal interests, you agree to reasonably cooperate, in a timely and good faith manner, subsequent to the Termination Date, with all reasonable requests for assistance made by the Company, relating directly or indirectly to all investigations, legal claims or any regulatory matter with respect to any matter which occurred during the course of your employment with the Company, with which you were involved prior to the termination of your employment, or with which you became aware of during the course of your employment. Upon the submission of proper documentation, the Company will reimburse you for all reasonable expenses you incur as a result of such requests for assistance, if any.</w:t>
      </w:r>
    </w:p>
    <w:p>
      <w:pPr>
        <w:spacing w:after="0" w:line="177" w:lineRule="exact"/>
        <w:rPr>
          <w:rFonts w:ascii="Arial" w:cs="Arial" w:eastAsia="Arial" w:hAnsi="Arial"/>
          <w:sz w:val="17"/>
          <w:szCs w:val="17"/>
          <w:color w:val="auto"/>
        </w:rPr>
      </w:pPr>
    </w:p>
    <w:p>
      <w:pPr>
        <w:jc w:val="both"/>
        <w:ind w:right="200" w:firstLine="656"/>
        <w:spacing w:after="0" w:line="329" w:lineRule="auto"/>
        <w:tabs>
          <w:tab w:leader="none" w:pos="1521" w:val="left"/>
        </w:tabs>
        <w:numPr>
          <w:ilvl w:val="1"/>
          <w:numId w:val="60"/>
        </w:numPr>
        <w:rPr>
          <w:rFonts w:ascii="Arial" w:cs="Arial" w:eastAsia="Arial" w:hAnsi="Arial"/>
          <w:sz w:val="17"/>
          <w:szCs w:val="17"/>
          <w:color w:val="auto"/>
        </w:rPr>
      </w:pPr>
      <w:r>
        <w:rPr>
          <w:rFonts w:ascii="Arial" w:cs="Arial" w:eastAsia="Arial" w:hAnsi="Arial"/>
          <w:sz w:val="17"/>
          <w:szCs w:val="17"/>
          <w:u w:val="single" w:color="auto"/>
          <w:color w:val="auto"/>
        </w:rPr>
        <w:t>Offer Expiration Date</w:t>
      </w:r>
      <w:r>
        <w:rPr>
          <w:rFonts w:ascii="Arial" w:cs="Arial" w:eastAsia="Arial" w:hAnsi="Arial"/>
          <w:sz w:val="17"/>
          <w:szCs w:val="17"/>
          <w:color w:val="auto"/>
        </w:rPr>
        <w:t>. In order for you to receive the Severance Benefits set forth in Paragraph 2 above, there is an important deadline you must meet. As noted above, you have forty-five (45) days, until May 3, 2018, to decide whether you wish to sign this Agreement. If you wish, you can (but are not required to) sign the Agreement before the forty-five (45) day period has expired. However, if you do not sign this Agreement by May 3, 2018, then this offer is withdrawn and you will not be eligible for the Severance Benefits set forth in Paragraph 2 above.</w:t>
      </w:r>
    </w:p>
    <w:p>
      <w:pPr>
        <w:spacing w:after="0" w:line="170" w:lineRule="exact"/>
        <w:rPr>
          <w:rFonts w:ascii="Arial" w:cs="Arial" w:eastAsia="Arial" w:hAnsi="Arial"/>
          <w:sz w:val="17"/>
          <w:szCs w:val="17"/>
          <w:color w:val="auto"/>
        </w:rPr>
      </w:pPr>
    </w:p>
    <w:p>
      <w:pPr>
        <w:ind w:right="20" w:firstLine="656"/>
        <w:spacing w:after="0" w:line="311" w:lineRule="auto"/>
        <w:tabs>
          <w:tab w:leader="none" w:pos="1521"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Indemnification/D&amp;O Insurance Coverage</w:t>
      </w:r>
      <w:r>
        <w:rPr>
          <w:rFonts w:ascii="Arial" w:cs="Arial" w:eastAsia="Arial" w:hAnsi="Arial"/>
          <w:sz w:val="18"/>
          <w:szCs w:val="18"/>
          <w:color w:val="auto"/>
        </w:rPr>
        <w:t>. The Company confirms that you are covered under the indemnification provisions of the Company’s by-laws and you shall be covered for acts or omissions occurring during your employment under the Company’s directors’ and officers’ insurance policies to the same extent you would have been covered if you had continued to be employed.</w:t>
      </w:r>
    </w:p>
    <w:p>
      <w:pPr>
        <w:spacing w:after="0" w:line="181" w:lineRule="exact"/>
        <w:rPr>
          <w:rFonts w:ascii="Arial" w:cs="Arial" w:eastAsia="Arial" w:hAnsi="Arial"/>
          <w:sz w:val="18"/>
          <w:szCs w:val="18"/>
          <w:color w:val="auto"/>
        </w:rPr>
      </w:pPr>
    </w:p>
    <w:p>
      <w:pPr>
        <w:ind w:right="80" w:firstLine="656"/>
        <w:spacing w:after="0" w:line="306" w:lineRule="auto"/>
        <w:tabs>
          <w:tab w:leader="none" w:pos="1521" w:val="left"/>
        </w:tabs>
        <w:numPr>
          <w:ilvl w:val="1"/>
          <w:numId w:val="60"/>
        </w:numPr>
        <w:rPr>
          <w:rFonts w:ascii="Arial" w:cs="Arial" w:eastAsia="Arial" w:hAnsi="Arial"/>
          <w:sz w:val="18"/>
          <w:szCs w:val="18"/>
          <w:color w:val="auto"/>
        </w:rPr>
      </w:pPr>
      <w:r>
        <w:rPr>
          <w:rFonts w:ascii="Arial" w:cs="Arial" w:eastAsia="Arial" w:hAnsi="Arial"/>
          <w:sz w:val="18"/>
          <w:szCs w:val="18"/>
          <w:u w:val="single" w:color="auto"/>
          <w:color w:val="auto"/>
        </w:rPr>
        <w:t>280G of the Code</w:t>
      </w:r>
      <w:r>
        <w:rPr>
          <w:rFonts w:ascii="Arial" w:cs="Arial" w:eastAsia="Arial" w:hAnsi="Arial"/>
          <w:sz w:val="18"/>
          <w:szCs w:val="18"/>
          <w:color w:val="auto"/>
        </w:rPr>
        <w:t>. The parties agree and acknowledge that the termination of your employment was not in connection with a change in control and, as such, agree to use reasonable efforts to rebut any such presumption under the Code. Notwithstanding the foregoing, if we are not successful in rebutting such presumption, then the provisions in your Severance Protection Agreement relating to a gross up for any excise taxes, interest or penalties imposed on you under Section 4999 of the Code shall remain in full force and effect.</w:t>
      </w:r>
    </w:p>
    <w:p>
      <w:pPr>
        <w:sectPr>
          <w:pgSz w:w="11900" w:h="16838" w:orient="portrait"/>
          <w:cols w:equalWidth="0" w:num="1">
            <w:col w:w="11420"/>
          </w:cols>
          <w:pgMar w:left="240" w:top="611" w:right="239" w:bottom="1440" w:gutter="0" w:footer="0" w:header="0"/>
        </w:sectPr>
      </w:pPr>
    </w:p>
    <w:bookmarkStart w:id="73" w:name="page74"/>
    <w:bookmarkEnd w:id="73"/>
    <w:p>
      <w:pPr>
        <w:ind w:right="260" w:firstLine="656"/>
        <w:spacing w:after="0" w:line="395" w:lineRule="auto"/>
        <w:tabs>
          <w:tab w:leader="none" w:pos="152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Addendum</w:t>
      </w:r>
      <w:r>
        <w:rPr>
          <w:rFonts w:ascii="Arial" w:cs="Arial" w:eastAsia="Arial" w:hAnsi="Arial"/>
          <w:sz w:val="16"/>
          <w:szCs w:val="16"/>
          <w:color w:val="auto"/>
        </w:rPr>
        <w:t>. You may be eligible for payments under an Annual Incentive Plan, Sales Incentive Plan and/or the Long-Term Incentive Plan. The attached Addendum to this Agreement sets forth the terms and conditions of your eligibility, if any, as well as your other entitlements.</w:t>
      </w:r>
    </w:p>
    <w:p>
      <w:pPr>
        <w:spacing w:after="0" w:line="123" w:lineRule="exact"/>
        <w:rPr>
          <w:rFonts w:ascii="Arial" w:cs="Arial" w:eastAsia="Arial" w:hAnsi="Arial"/>
          <w:sz w:val="16"/>
          <w:szCs w:val="16"/>
          <w:color w:val="auto"/>
        </w:rPr>
      </w:pPr>
    </w:p>
    <w:p>
      <w:pPr>
        <w:ind w:right="420" w:firstLine="656"/>
        <w:spacing w:after="0" w:line="334" w:lineRule="auto"/>
        <w:tabs>
          <w:tab w:leader="none" w:pos="1521" w:val="left"/>
        </w:tabs>
        <w:numPr>
          <w:ilvl w:val="0"/>
          <w:numId w:val="61"/>
        </w:numPr>
        <w:rPr>
          <w:rFonts w:ascii="Arial" w:cs="Arial" w:eastAsia="Arial" w:hAnsi="Arial"/>
          <w:sz w:val="16"/>
          <w:szCs w:val="16"/>
          <w:color w:val="auto"/>
        </w:rPr>
      </w:pPr>
      <w:r>
        <w:rPr>
          <w:rFonts w:ascii="Arial" w:cs="Arial" w:eastAsia="Arial" w:hAnsi="Arial"/>
          <w:sz w:val="16"/>
          <w:szCs w:val="16"/>
          <w:u w:val="single" w:color="auto"/>
          <w:color w:val="auto"/>
        </w:rPr>
        <w:t>Attachment</w:t>
      </w:r>
      <w:r>
        <w:rPr>
          <w:rFonts w:ascii="Arial" w:cs="Arial" w:eastAsia="Arial" w:hAnsi="Arial"/>
          <w:sz w:val="16"/>
          <w:szCs w:val="16"/>
          <w:color w:val="auto"/>
        </w:rPr>
        <w:t xml:space="preserve">. You are not the only employee whose employment is being terminated. You are part of a group of employees whose employment is being terminated. Attached to this Agreement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is information for you to consider in deciding whether to sign this Severance</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Agreement and General Release. If you have any questions about Exhibit A, please let me know.</w:t>
      </w:r>
    </w:p>
    <w:p>
      <w:pPr>
        <w:spacing w:after="0" w:line="23"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 * *</w:t>
      </w:r>
    </w:p>
    <w:p>
      <w:pPr>
        <w:spacing w:after="0" w:line="224"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agree with the all of the terms of this Agreement, please sign below, indicating that you understand, agree with and intend to be legally bound by this Agreement, including the General Release, and return the signed Agreement to me.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wish you the best in the future.</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Robert W. Morrissey</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Robert W. Morrissey</w:t>
      </w:r>
    </w:p>
    <w:p>
      <w:pPr>
        <w:spacing w:after="0" w:line="37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UNDERSTOOD AND AGREED, INTENDING TO BE LEGALLY BOUND: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1320" w:type="dxa"/>
        <w:tblCellMar>
          <w:top w:w="0" w:type="dxa"/>
          <w:left w:w="0" w:type="dxa"/>
          <w:bottom w:w="0" w:type="dxa"/>
          <w:right w:w="0" w:type="dxa"/>
        </w:tblCellMar>
      </w:tblPr>
      <w:tr>
        <w:trPr>
          <w:trHeight w:val="230"/>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/s/ Mark Alexander</w:t>
            </w:r>
          </w:p>
        </w:tc>
        <w:tc>
          <w:tcPr>
            <w:tcW w:w="2280" w:type="dxa"/>
            <w:vAlign w:val="bottom"/>
          </w:tcPr>
          <w:p>
            <w:pPr>
              <w:ind w:left="40"/>
              <w:spacing w:after="0"/>
              <w:rPr>
                <w:sz w:val="20"/>
                <w:szCs w:val="20"/>
                <w:color w:val="auto"/>
              </w:rPr>
            </w:pPr>
            <w:r>
              <w:rPr>
                <w:rFonts w:ascii="Arial" w:cs="Arial" w:eastAsia="Arial" w:hAnsi="Arial"/>
                <w:sz w:val="18"/>
                <w:szCs w:val="18"/>
                <w:color w:val="auto"/>
              </w:rPr>
              <w:t>April 30, 2018</w:t>
            </w:r>
          </w:p>
        </w:tc>
      </w:tr>
      <w:tr>
        <w:trPr>
          <w:trHeight w:val="27"/>
        </w:trPr>
        <w:tc>
          <w:tcPr>
            <w:tcW w:w="5980" w:type="dxa"/>
            <w:vAlign w:val="bottom"/>
            <w:tcBorders>
              <w:bottom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37"/>
        </w:trPr>
        <w:tc>
          <w:tcPr>
            <w:tcW w:w="6500" w:type="dxa"/>
            <w:vAlign w:val="bottom"/>
            <w:gridSpan w:val="2"/>
          </w:tcPr>
          <w:p>
            <w:pPr>
              <w:ind w:left="20"/>
              <w:spacing w:after="0"/>
              <w:rPr>
                <w:sz w:val="20"/>
                <w:szCs w:val="20"/>
                <w:color w:val="auto"/>
              </w:rPr>
            </w:pPr>
            <w:r>
              <w:rPr>
                <w:rFonts w:ascii="Arial" w:cs="Arial" w:eastAsia="Arial" w:hAnsi="Arial"/>
                <w:sz w:val="18"/>
                <w:szCs w:val="18"/>
                <w:color w:val="auto"/>
              </w:rPr>
              <w:t>Mark Alexander</w:t>
            </w:r>
          </w:p>
        </w:tc>
        <w:tc>
          <w:tcPr>
            <w:tcW w:w="2280" w:type="dxa"/>
            <w:vAlign w:val="bottom"/>
          </w:tcPr>
          <w:p>
            <w:pPr>
              <w:ind w:left="4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340"/>
          </w:cols>
          <w:pgMar w:left="240" w:top="827"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8"/>
          <w:szCs w:val="18"/>
          <w:color w:val="auto"/>
        </w:rPr>
        <w:t>ADDENDUM</w:t>
      </w:r>
    </w:p>
    <w:p>
      <w:pPr>
        <w:spacing w:after="0" w:line="262" w:lineRule="exact"/>
        <w:rPr>
          <w:sz w:val="20"/>
          <w:szCs w:val="20"/>
          <w:color w:val="auto"/>
        </w:rPr>
      </w:pPr>
    </w:p>
    <w:p>
      <w:pPr>
        <w:jc w:val="both"/>
        <w:ind w:left="340" w:hanging="332"/>
        <w:spacing w:after="0" w:line="255"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Annual Incentive Plan: </w:t>
      </w:r>
      <w:r>
        <w:rPr>
          <w:rFonts w:ascii="Arial" w:cs="Arial" w:eastAsia="Arial" w:hAnsi="Arial"/>
          <w:sz w:val="18"/>
          <w:szCs w:val="18"/>
          <w:color w:val="auto"/>
        </w:rPr>
        <w:t>You will be eligible to participate in the Campbell Soup Company Annual Incentive Plan (the AIP) for fiscal</w:t>
      </w:r>
      <w:r>
        <w:rPr>
          <w:rFonts w:ascii="Arial" w:cs="Arial" w:eastAsia="Arial" w:hAnsi="Arial"/>
          <w:sz w:val="18"/>
          <w:szCs w:val="18"/>
          <w:b w:val="1"/>
          <w:bCs w:val="1"/>
          <w:color w:val="auto"/>
        </w:rPr>
        <w:t xml:space="preserve"> 2018</w:t>
      </w:r>
      <w:r>
        <w:rPr>
          <w:rFonts w:ascii="Arial" w:cs="Arial" w:eastAsia="Arial" w:hAnsi="Arial"/>
          <w:sz w:val="18"/>
          <w:szCs w:val="18"/>
          <w:color w:val="auto"/>
        </w:rPr>
        <w:t>, as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determined in accordance with the terms of the AIP and this Addendum. Eligibility for an award is contingent upon the Company receiving your signed Severance Agreement and General Release. Without a signed release, you are not eligible to receive an award. In the calculation of your award, the Company will utilize your target bonus opportunity of 90% of your Base Salary, with 60% of the award based on the Company’s performance and 40% based on your Division’s performance. The actual amount paid to you under the AIP for 2018 will be based on the Company’s performance and your Division’s performance as determined in the sole discretion of the Compensation and Organization Committee of the Campbell Soup Company’s Board of Directors. Decisions regarding bonus awards are normally made at the end of September and paid by the end of October. You will not be eligible for the AIP for fiscal </w:t>
      </w:r>
      <w:r>
        <w:rPr>
          <w:rFonts w:ascii="Arial" w:cs="Arial" w:eastAsia="Arial" w:hAnsi="Arial"/>
          <w:sz w:val="18"/>
          <w:szCs w:val="18"/>
          <w:b w:val="1"/>
          <w:bCs w:val="1"/>
          <w:color w:val="auto"/>
        </w:rPr>
        <w:t>2019</w:t>
      </w:r>
      <w:r>
        <w:rPr>
          <w:rFonts w:ascii="Arial" w:cs="Arial" w:eastAsia="Arial" w:hAnsi="Arial"/>
          <w:sz w:val="18"/>
          <w:szCs w:val="18"/>
          <w:color w:val="auto"/>
        </w:rPr>
        <w:t>.</w:t>
      </w:r>
    </w:p>
    <w:p>
      <w:pPr>
        <w:spacing w:after="0" w:line="185" w:lineRule="exact"/>
        <w:rPr>
          <w:rFonts w:ascii="Arial" w:cs="Arial" w:eastAsia="Arial" w:hAnsi="Arial"/>
          <w:sz w:val="18"/>
          <w:szCs w:val="18"/>
          <w:color w:val="auto"/>
        </w:rPr>
      </w:pPr>
    </w:p>
    <w:p>
      <w:pPr>
        <w:jc w:val="both"/>
        <w:ind w:left="340" w:hanging="332"/>
        <w:spacing w:after="0" w:line="274"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t xml:space="preserve">Restricted and Performance Stock: </w:t>
      </w:r>
      <w:r>
        <w:rPr>
          <w:rFonts w:ascii="Arial" w:cs="Arial" w:eastAsia="Arial" w:hAnsi="Arial"/>
          <w:sz w:val="17"/>
          <w:szCs w:val="17"/>
          <w:color w:val="auto"/>
        </w:rPr>
        <w:t>The following section details the treatment upon termination of vested and unvested Stock Options, and</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unvested Restricted Stock Units (RSU) and Performance Restricted Stock Units (PSU) granted to you under the Campbell Soup Company 2005 Long-Term Incentive Plan (the 2005 LTIP) and the Campbell Soup Company 2015 Long-Term Incentive Plan (the 2015 LTIP). Eligibility for a prorated award is contingent upon the Company receiving your signed Severance Agreement and General Release. Without a signed release, all unvested units are forfeited. Applicable taxes will be withheld from the payment of any RSU or PSU award. In the event of any conflict between this Addendum and the 2005 LTIP and the 2015 LTIP, the 2005 LTIP and the 2015 LTIP will govern.</w:t>
      </w:r>
    </w:p>
    <w:p>
      <w:pPr>
        <w:spacing w:after="0" w:line="173" w:lineRule="exact"/>
        <w:rPr>
          <w:rFonts w:ascii="Arial" w:cs="Arial" w:eastAsia="Arial" w:hAnsi="Arial"/>
          <w:sz w:val="17"/>
          <w:szCs w:val="17"/>
          <w:color w:val="auto"/>
        </w:rPr>
      </w:pPr>
    </w:p>
    <w:p>
      <w:pPr>
        <w:ind w:left="660" w:hanging="328"/>
        <w:spacing w:after="0" w:line="282"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You were granted </w:t>
      </w:r>
      <w:r>
        <w:rPr>
          <w:rFonts w:ascii="Arial" w:cs="Arial" w:eastAsia="Arial" w:hAnsi="Arial"/>
          <w:sz w:val="18"/>
          <w:szCs w:val="18"/>
          <w:b w:val="1"/>
          <w:bCs w:val="1"/>
          <w:color w:val="auto"/>
        </w:rPr>
        <w:t>81,152</w:t>
      </w:r>
      <w:r>
        <w:rPr>
          <w:rFonts w:ascii="Arial" w:cs="Arial" w:eastAsia="Arial" w:hAnsi="Arial"/>
          <w:sz w:val="18"/>
          <w:szCs w:val="18"/>
          <w:color w:val="auto"/>
        </w:rPr>
        <w:t xml:space="preserve"> Stock Options under the 2005 LTIP on October 1, 2015 that will vest on September 30, 2018. You may exercise any vested, unexercised options within one year of your Termination Date or until the options expire, whichever is earlier.</w:t>
      </w:r>
    </w:p>
    <w:p>
      <w:pPr>
        <w:spacing w:after="0" w:line="165"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You were granted EPS PSU and TSR PSU under the 2005 LTIP on October 1, 2015. These grants will be fully vested prior to your Termination Date and will not be impacted.</w:t>
      </w:r>
    </w:p>
    <w:p>
      <w:pPr>
        <w:spacing w:after="0" w:line="166"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You were granted </w:t>
      </w:r>
      <w:r>
        <w:rPr>
          <w:rFonts w:ascii="Arial" w:cs="Arial" w:eastAsia="Arial" w:hAnsi="Arial"/>
          <w:sz w:val="18"/>
          <w:szCs w:val="18"/>
          <w:b w:val="1"/>
          <w:bCs w:val="1"/>
          <w:color w:val="auto"/>
        </w:rPr>
        <w:t>55,290</w:t>
      </w:r>
      <w:r>
        <w:rPr>
          <w:rFonts w:ascii="Arial" w:cs="Arial" w:eastAsia="Arial" w:hAnsi="Arial"/>
          <w:sz w:val="18"/>
          <w:szCs w:val="18"/>
          <w:color w:val="auto"/>
        </w:rPr>
        <w:t xml:space="preserve"> Stock Options under the 2015 LTIP on October 1, 2016. As of the Termination Date, all unvested Stock Options </w:t>
      </w:r>
      <w:r>
        <w:rPr>
          <w:rFonts w:ascii="Arial" w:cs="Arial" w:eastAsia="Arial" w:hAnsi="Arial"/>
          <w:sz w:val="18"/>
          <w:szCs w:val="18"/>
          <w:b w:val="1"/>
          <w:bCs w:val="1"/>
          <w:color w:val="auto"/>
        </w:rPr>
        <w:t>(18,430)</w:t>
      </w:r>
      <w:r>
        <w:rPr>
          <w:rFonts w:ascii="Arial" w:cs="Arial" w:eastAsia="Arial" w:hAnsi="Arial"/>
          <w:sz w:val="18"/>
          <w:szCs w:val="18"/>
          <w:color w:val="auto"/>
        </w:rPr>
        <w:t xml:space="preserve"> will be forfeited upon termination in accordance with the terms of the Long-Term Incentive Program, and you may exercise any vested, unexercised options within one year of your Termination Date or until the options expire, whichever is earlier.</w:t>
      </w:r>
    </w:p>
    <w:p>
      <w:pPr>
        <w:spacing w:after="0" w:line="176" w:lineRule="exact"/>
        <w:rPr>
          <w:rFonts w:ascii="Arial" w:cs="Arial" w:eastAsia="Arial" w:hAnsi="Arial"/>
          <w:sz w:val="18"/>
          <w:szCs w:val="18"/>
          <w:color w:val="auto"/>
        </w:rPr>
      </w:pPr>
    </w:p>
    <w:p>
      <w:pPr>
        <w:jc w:val="both"/>
        <w:ind w:left="660" w:hanging="328"/>
        <w:spacing w:after="0" w:line="261"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You were granted EPS PSU under the 2015 LTIP on October 1, 2016, from which </w:t>
      </w:r>
      <w:r>
        <w:rPr>
          <w:rFonts w:ascii="Arial" w:cs="Arial" w:eastAsia="Arial" w:hAnsi="Arial"/>
          <w:sz w:val="18"/>
          <w:szCs w:val="18"/>
          <w:b w:val="1"/>
          <w:bCs w:val="1"/>
          <w:color w:val="auto"/>
        </w:rPr>
        <w:t>2,634</w:t>
      </w:r>
      <w:r>
        <w:rPr>
          <w:rFonts w:ascii="Arial" w:cs="Arial" w:eastAsia="Arial" w:hAnsi="Arial"/>
          <w:sz w:val="18"/>
          <w:szCs w:val="18"/>
          <w:color w:val="auto"/>
        </w:rPr>
        <w:t xml:space="preserve"> PSU will vest as scheduled on </w:t>
      </w:r>
      <w:r>
        <w:rPr>
          <w:rFonts w:ascii="Arial" w:cs="Arial" w:eastAsia="Arial" w:hAnsi="Arial"/>
          <w:sz w:val="18"/>
          <w:szCs w:val="18"/>
          <w:b w:val="1"/>
          <w:bCs w:val="1"/>
          <w:color w:val="auto"/>
        </w:rPr>
        <w:t>September 30, 2018</w:t>
      </w:r>
      <w:r>
        <w:rPr>
          <w:rFonts w:ascii="Arial" w:cs="Arial" w:eastAsia="Arial" w:hAnsi="Arial"/>
          <w:sz w:val="18"/>
          <w:szCs w:val="18"/>
          <w:color w:val="auto"/>
        </w:rPr>
        <w:t xml:space="preserve">. As of the Termination Date, you will have </w:t>
      </w:r>
      <w:r>
        <w:rPr>
          <w:rFonts w:ascii="Arial" w:cs="Arial" w:eastAsia="Arial" w:hAnsi="Arial"/>
          <w:sz w:val="18"/>
          <w:szCs w:val="18"/>
          <w:b w:val="1"/>
          <w:bCs w:val="1"/>
          <w:color w:val="auto"/>
        </w:rPr>
        <w:t>2,634</w:t>
      </w:r>
      <w:r>
        <w:rPr>
          <w:rFonts w:ascii="Arial" w:cs="Arial" w:eastAsia="Arial" w:hAnsi="Arial"/>
          <w:sz w:val="18"/>
          <w:szCs w:val="18"/>
          <w:color w:val="auto"/>
        </w:rPr>
        <w:t xml:space="preserve"> unvested units from this grant, </w:t>
      </w:r>
      <w:r>
        <w:rPr>
          <w:rFonts w:ascii="Arial" w:cs="Arial" w:eastAsia="Arial" w:hAnsi="Arial"/>
          <w:sz w:val="18"/>
          <w:szCs w:val="18"/>
          <w:b w:val="1"/>
          <w:bCs w:val="1"/>
          <w:color w:val="auto"/>
        </w:rPr>
        <w:t>878</w:t>
      </w:r>
      <w:r>
        <w:rPr>
          <w:rFonts w:ascii="Arial" w:cs="Arial" w:eastAsia="Arial" w:hAnsi="Arial"/>
          <w:sz w:val="18"/>
          <w:szCs w:val="18"/>
          <w:color w:val="auto"/>
        </w:rPr>
        <w:t xml:space="preserve"> of which will be forfeited upon termination in accordance with the terms of the Long-Term Incentive Program. The remaining </w:t>
      </w:r>
      <w:r>
        <w:rPr>
          <w:rFonts w:ascii="Arial" w:cs="Arial" w:eastAsia="Arial" w:hAnsi="Arial"/>
          <w:sz w:val="18"/>
          <w:szCs w:val="18"/>
          <w:b w:val="1"/>
          <w:bCs w:val="1"/>
          <w:color w:val="auto"/>
        </w:rPr>
        <w:t>1,756</w:t>
      </w:r>
      <w:r>
        <w:rPr>
          <w:rFonts w:ascii="Arial" w:cs="Arial" w:eastAsia="Arial" w:hAnsi="Arial"/>
          <w:sz w:val="18"/>
          <w:szCs w:val="18"/>
          <w:color w:val="auto"/>
        </w:rPr>
        <w:t xml:space="preserve"> units will vest on the following schedule and shall be delivered within two months of the vest date:</w:t>
      </w:r>
    </w:p>
    <w:p>
      <w:pPr>
        <w:spacing w:after="0" w:line="180" w:lineRule="exact"/>
        <w:rPr>
          <w:rFonts w:ascii="Arial" w:cs="Arial" w:eastAsia="Arial" w:hAnsi="Arial"/>
          <w:sz w:val="18"/>
          <w:szCs w:val="18"/>
          <w:color w:val="auto"/>
        </w:rPr>
      </w:pPr>
    </w:p>
    <w:p>
      <w:pPr>
        <w:ind w:left="1960" w:hanging="169"/>
        <w:spacing w:after="0"/>
        <w:tabs>
          <w:tab w:leader="none" w:pos="1960" w:val="left"/>
        </w:tabs>
        <w:numPr>
          <w:ilvl w:val="2"/>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1,756 </w:t>
      </w:r>
      <w:r>
        <w:rPr>
          <w:rFonts w:ascii="Arial" w:cs="Arial" w:eastAsia="Arial" w:hAnsi="Arial"/>
          <w:sz w:val="18"/>
          <w:szCs w:val="18"/>
          <w:color w:val="auto"/>
        </w:rPr>
        <w:t>EPS PSU will vest on</w:t>
      </w:r>
      <w:r>
        <w:rPr>
          <w:rFonts w:ascii="Arial" w:cs="Arial" w:eastAsia="Arial" w:hAnsi="Arial"/>
          <w:sz w:val="18"/>
          <w:szCs w:val="18"/>
          <w:b w:val="1"/>
          <w:bCs w:val="1"/>
          <w:color w:val="auto"/>
        </w:rPr>
        <w:t xml:space="preserve"> September 30, 2019</w:t>
      </w:r>
    </w:p>
    <w:p>
      <w:pPr>
        <w:spacing w:after="0" w:line="225"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You were granted TSR PSU under the 2015 LTIP on October 1, 2016. As of the Termination Date, you will have </w:t>
      </w:r>
      <w:r>
        <w:rPr>
          <w:rFonts w:ascii="Arial" w:cs="Arial" w:eastAsia="Arial" w:hAnsi="Arial"/>
          <w:sz w:val="18"/>
          <w:szCs w:val="18"/>
          <w:b w:val="1"/>
          <w:bCs w:val="1"/>
          <w:color w:val="auto"/>
        </w:rPr>
        <w:t>15,802</w:t>
      </w:r>
      <w:r>
        <w:rPr>
          <w:rFonts w:ascii="Arial" w:cs="Arial" w:eastAsia="Arial" w:hAnsi="Arial"/>
          <w:sz w:val="18"/>
          <w:szCs w:val="18"/>
          <w:color w:val="auto"/>
        </w:rPr>
        <w:t xml:space="preserve"> unvested units from this grant, </w:t>
      </w:r>
      <w:r>
        <w:rPr>
          <w:rFonts w:ascii="Arial" w:cs="Arial" w:eastAsia="Arial" w:hAnsi="Arial"/>
          <w:sz w:val="18"/>
          <w:szCs w:val="18"/>
          <w:b w:val="1"/>
          <w:bCs w:val="1"/>
          <w:color w:val="auto"/>
        </w:rPr>
        <w:t>5,267</w:t>
      </w:r>
      <w:r>
        <w:rPr>
          <w:rFonts w:ascii="Arial" w:cs="Arial" w:eastAsia="Arial" w:hAnsi="Arial"/>
          <w:sz w:val="18"/>
          <w:szCs w:val="18"/>
          <w:color w:val="auto"/>
        </w:rPr>
        <w:t xml:space="preserve"> of which will be forfeited upon termination in accordance with the terms of the Long-Term Incentive Program. The remaining </w:t>
      </w:r>
      <w:r>
        <w:rPr>
          <w:rFonts w:ascii="Arial" w:cs="Arial" w:eastAsia="Arial" w:hAnsi="Arial"/>
          <w:sz w:val="18"/>
          <w:szCs w:val="18"/>
          <w:b w:val="1"/>
          <w:bCs w:val="1"/>
          <w:color w:val="auto"/>
        </w:rPr>
        <w:t>10,535</w:t>
      </w:r>
      <w:r>
        <w:rPr>
          <w:rFonts w:ascii="Arial" w:cs="Arial" w:eastAsia="Arial" w:hAnsi="Arial"/>
          <w:sz w:val="18"/>
          <w:szCs w:val="18"/>
          <w:color w:val="auto"/>
        </w:rPr>
        <w:t xml:space="preserve"> units will continue to be unvested until their originally scheduled vesting date. The precise number of units earned will be based on the Company’s Total Shareowner Return ranking during fiscal years 2017, 2018 and 2019, and the earned PSU will vest on </w:t>
      </w:r>
      <w:r>
        <w:rPr>
          <w:rFonts w:ascii="Arial" w:cs="Arial" w:eastAsia="Arial" w:hAnsi="Arial"/>
          <w:sz w:val="18"/>
          <w:szCs w:val="18"/>
          <w:b w:val="1"/>
          <w:bCs w:val="1"/>
          <w:color w:val="auto"/>
        </w:rPr>
        <w:t>September 30, 2019</w:t>
      </w:r>
      <w:r>
        <w:rPr>
          <w:rFonts w:ascii="Arial" w:cs="Arial" w:eastAsia="Arial" w:hAnsi="Arial"/>
          <w:sz w:val="18"/>
          <w:szCs w:val="18"/>
          <w:color w:val="auto"/>
        </w:rPr>
        <w:t>, and shall be delivered within two months of the vest date.</w:t>
      </w:r>
    </w:p>
    <w:p>
      <w:pPr>
        <w:spacing w:after="0" w:line="183" w:lineRule="exact"/>
        <w:rPr>
          <w:rFonts w:ascii="Arial" w:cs="Arial" w:eastAsia="Arial" w:hAnsi="Arial"/>
          <w:sz w:val="18"/>
          <w:szCs w:val="18"/>
          <w:color w:val="auto"/>
        </w:rPr>
      </w:pPr>
    </w:p>
    <w:p>
      <w:pPr>
        <w:jc w:val="both"/>
        <w:ind w:left="660" w:hanging="328"/>
        <w:spacing w:after="0" w:line="266"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You were granted </w:t>
      </w:r>
      <w:r>
        <w:rPr>
          <w:rFonts w:ascii="Arial" w:cs="Arial" w:eastAsia="Arial" w:hAnsi="Arial"/>
          <w:sz w:val="18"/>
          <w:szCs w:val="18"/>
          <w:b w:val="1"/>
          <w:bCs w:val="1"/>
          <w:color w:val="auto"/>
        </w:rPr>
        <w:t>62,901</w:t>
      </w:r>
      <w:r>
        <w:rPr>
          <w:rFonts w:ascii="Arial" w:cs="Arial" w:eastAsia="Arial" w:hAnsi="Arial"/>
          <w:sz w:val="18"/>
          <w:szCs w:val="18"/>
          <w:color w:val="auto"/>
        </w:rPr>
        <w:t xml:space="preserve"> Stock Options under the 2015 LTIP on October 1, 2017. As of the Termination Date, all unvested Stock Options </w:t>
      </w:r>
      <w:r>
        <w:rPr>
          <w:rFonts w:ascii="Arial" w:cs="Arial" w:eastAsia="Arial" w:hAnsi="Arial"/>
          <w:sz w:val="18"/>
          <w:szCs w:val="18"/>
          <w:b w:val="1"/>
          <w:bCs w:val="1"/>
          <w:color w:val="auto"/>
        </w:rPr>
        <w:t>(41,934)</w:t>
      </w:r>
      <w:r>
        <w:rPr>
          <w:rFonts w:ascii="Arial" w:cs="Arial" w:eastAsia="Arial" w:hAnsi="Arial"/>
          <w:sz w:val="18"/>
          <w:szCs w:val="18"/>
          <w:color w:val="auto"/>
        </w:rPr>
        <w:t xml:space="preserve"> will be forfeited upon termination in accordance with the terms of the Long-Term Incentive Program, and you may exercise any vested, unexercised options within one year of your Termination Date or until the options expire, whichever is earlier.</w:t>
      </w:r>
    </w:p>
    <w:p>
      <w:pPr>
        <w:spacing w:after="0" w:line="176" w:lineRule="exact"/>
        <w:rPr>
          <w:rFonts w:ascii="Arial" w:cs="Arial" w:eastAsia="Arial" w:hAnsi="Arial"/>
          <w:sz w:val="18"/>
          <w:szCs w:val="18"/>
          <w:color w:val="auto"/>
        </w:rPr>
      </w:pPr>
    </w:p>
    <w:p>
      <w:pPr>
        <w:jc w:val="both"/>
        <w:ind w:left="660" w:hanging="328"/>
        <w:spacing w:after="0" w:line="258" w:lineRule="auto"/>
        <w:tabs>
          <w:tab w:leader="none" w:pos="6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 xml:space="preserve">You were granted EPS PSU under the 2015 LTIP on October 1, 2017. Subject to the Company’s achievement of the fiscal 2018 EPS threshold, </w:t>
      </w:r>
      <w:r>
        <w:rPr>
          <w:rFonts w:ascii="Arial" w:cs="Arial" w:eastAsia="Arial" w:hAnsi="Arial"/>
          <w:sz w:val="18"/>
          <w:szCs w:val="18"/>
          <w:b w:val="1"/>
          <w:bCs w:val="1"/>
          <w:color w:val="auto"/>
        </w:rPr>
        <w:t>2,996</w:t>
      </w:r>
      <w:r>
        <w:rPr>
          <w:rFonts w:ascii="Arial" w:cs="Arial" w:eastAsia="Arial" w:hAnsi="Arial"/>
          <w:sz w:val="18"/>
          <w:szCs w:val="18"/>
          <w:color w:val="auto"/>
        </w:rPr>
        <w:t xml:space="preserve"> EPS PSU will vest as scheduled on </w:t>
      </w:r>
      <w:r>
        <w:rPr>
          <w:rFonts w:ascii="Arial" w:cs="Arial" w:eastAsia="Arial" w:hAnsi="Arial"/>
          <w:sz w:val="18"/>
          <w:szCs w:val="18"/>
          <w:b w:val="1"/>
          <w:bCs w:val="1"/>
          <w:color w:val="auto"/>
        </w:rPr>
        <w:t>September 30, 2018</w:t>
      </w:r>
      <w:r>
        <w:rPr>
          <w:rFonts w:ascii="Arial" w:cs="Arial" w:eastAsia="Arial" w:hAnsi="Arial"/>
          <w:sz w:val="18"/>
          <w:szCs w:val="18"/>
          <w:color w:val="auto"/>
        </w:rPr>
        <w:t xml:space="preserve">. As of the Termination Date, you will have </w:t>
      </w:r>
      <w:r>
        <w:rPr>
          <w:rFonts w:ascii="Arial" w:cs="Arial" w:eastAsia="Arial" w:hAnsi="Arial"/>
          <w:sz w:val="18"/>
          <w:szCs w:val="18"/>
          <w:b w:val="1"/>
          <w:bCs w:val="1"/>
          <w:color w:val="auto"/>
        </w:rPr>
        <w:t>5,993</w:t>
      </w:r>
      <w:r>
        <w:rPr>
          <w:rFonts w:ascii="Arial" w:cs="Arial" w:eastAsia="Arial" w:hAnsi="Arial"/>
          <w:sz w:val="18"/>
          <w:szCs w:val="18"/>
          <w:color w:val="auto"/>
        </w:rPr>
        <w:t xml:space="preserve"> unvested units from this grant, </w:t>
      </w:r>
      <w:r>
        <w:rPr>
          <w:rFonts w:ascii="Arial" w:cs="Arial" w:eastAsia="Arial" w:hAnsi="Arial"/>
          <w:sz w:val="18"/>
          <w:szCs w:val="18"/>
          <w:b w:val="1"/>
          <w:bCs w:val="1"/>
          <w:color w:val="auto"/>
        </w:rPr>
        <w:t>3,496</w:t>
      </w:r>
      <w:r>
        <w:rPr>
          <w:rFonts w:ascii="Arial" w:cs="Arial" w:eastAsia="Arial" w:hAnsi="Arial"/>
          <w:sz w:val="18"/>
          <w:szCs w:val="18"/>
          <w:color w:val="auto"/>
        </w:rPr>
        <w:t xml:space="preserve"> of which will be forfeited upon termination in accordance with the terms of the Long-Term Incentive Program. Subject to the Company’s achievement of the fiscal 2018 EPS threshold, the remaining </w:t>
      </w:r>
      <w:r>
        <w:rPr>
          <w:rFonts w:ascii="Arial" w:cs="Arial" w:eastAsia="Arial" w:hAnsi="Arial"/>
          <w:sz w:val="18"/>
          <w:szCs w:val="18"/>
          <w:b w:val="1"/>
          <w:bCs w:val="1"/>
          <w:color w:val="auto"/>
        </w:rPr>
        <w:t>2,497</w:t>
      </w:r>
      <w:r>
        <w:rPr>
          <w:rFonts w:ascii="Arial" w:cs="Arial" w:eastAsia="Arial" w:hAnsi="Arial"/>
          <w:sz w:val="18"/>
          <w:szCs w:val="18"/>
          <w:color w:val="auto"/>
        </w:rPr>
        <w:t xml:space="preserve"> units will vest on the following schedule and shall be delivered within two months of the vest date:</w:t>
      </w:r>
    </w:p>
    <w:p>
      <w:pPr>
        <w:spacing w:after="0" w:line="183" w:lineRule="exact"/>
        <w:rPr>
          <w:rFonts w:ascii="Arial" w:cs="Arial" w:eastAsia="Arial" w:hAnsi="Arial"/>
          <w:sz w:val="18"/>
          <w:szCs w:val="18"/>
          <w:color w:val="auto"/>
        </w:rPr>
      </w:pPr>
    </w:p>
    <w:p>
      <w:pPr>
        <w:ind w:left="1960" w:hanging="169"/>
        <w:spacing w:after="0"/>
        <w:tabs>
          <w:tab w:leader="none" w:pos="1960" w:val="left"/>
        </w:tabs>
        <w:numPr>
          <w:ilvl w:val="2"/>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1,498 </w:t>
      </w:r>
      <w:r>
        <w:rPr>
          <w:rFonts w:ascii="Arial" w:cs="Arial" w:eastAsia="Arial" w:hAnsi="Arial"/>
          <w:sz w:val="18"/>
          <w:szCs w:val="18"/>
          <w:color w:val="auto"/>
        </w:rPr>
        <w:t>EPS PSU will vest on</w:t>
      </w:r>
      <w:r>
        <w:rPr>
          <w:rFonts w:ascii="Arial" w:cs="Arial" w:eastAsia="Arial" w:hAnsi="Arial"/>
          <w:sz w:val="18"/>
          <w:szCs w:val="18"/>
          <w:b w:val="1"/>
          <w:bCs w:val="1"/>
          <w:color w:val="auto"/>
        </w:rPr>
        <w:t xml:space="preserve"> September 30, 2019</w:t>
      </w:r>
    </w:p>
    <w:p>
      <w:pPr>
        <w:spacing w:after="0" w:line="27" w:lineRule="exact"/>
        <w:rPr>
          <w:rFonts w:ascii="Arial" w:cs="Arial" w:eastAsia="Arial" w:hAnsi="Arial"/>
          <w:sz w:val="18"/>
          <w:szCs w:val="18"/>
          <w:color w:val="auto"/>
        </w:rPr>
      </w:pPr>
    </w:p>
    <w:p>
      <w:pPr>
        <w:ind w:left="1960" w:hanging="169"/>
        <w:spacing w:after="0"/>
        <w:tabs>
          <w:tab w:leader="none" w:pos="1960" w:val="left"/>
        </w:tabs>
        <w:numPr>
          <w:ilvl w:val="2"/>
          <w:numId w:val="62"/>
        </w:numPr>
        <w:rPr>
          <w:rFonts w:ascii="Arial" w:cs="Arial" w:eastAsia="Arial" w:hAnsi="Arial"/>
          <w:sz w:val="18"/>
          <w:szCs w:val="18"/>
          <w:color w:val="auto"/>
        </w:rPr>
      </w:pPr>
      <w:r>
        <w:rPr>
          <w:rFonts w:ascii="Arial" w:cs="Arial" w:eastAsia="Arial" w:hAnsi="Arial"/>
          <w:sz w:val="18"/>
          <w:szCs w:val="18"/>
          <w:b w:val="1"/>
          <w:bCs w:val="1"/>
          <w:color w:val="auto"/>
        </w:rPr>
        <w:t xml:space="preserve">999 </w:t>
      </w:r>
      <w:r>
        <w:rPr>
          <w:rFonts w:ascii="Arial" w:cs="Arial" w:eastAsia="Arial" w:hAnsi="Arial"/>
          <w:sz w:val="18"/>
          <w:szCs w:val="18"/>
          <w:color w:val="auto"/>
        </w:rPr>
        <w:t>EPS PSU will vest on</w:t>
      </w:r>
      <w:r>
        <w:rPr>
          <w:rFonts w:ascii="Arial" w:cs="Arial" w:eastAsia="Arial" w:hAnsi="Arial"/>
          <w:sz w:val="18"/>
          <w:szCs w:val="18"/>
          <w:b w:val="1"/>
          <w:bCs w:val="1"/>
          <w:color w:val="auto"/>
        </w:rPr>
        <w:t xml:space="preserve"> September 30, 2020</w:t>
      </w:r>
    </w:p>
    <w:p>
      <w:pPr>
        <w:sectPr>
          <w:pgSz w:w="11900" w:h="16838" w:orient="portrait"/>
          <w:cols w:equalWidth="0" w:num="1">
            <w:col w:w="11420"/>
          </w:cols>
          <w:pgMar w:left="240" w:top="638" w:right="239" w:bottom="1440" w:gutter="0" w:footer="0" w:header="0"/>
        </w:sectPr>
      </w:pPr>
    </w:p>
    <w:bookmarkStart w:id="75" w:name="page76"/>
    <w:bookmarkEnd w:id="75"/>
    <w:p>
      <w:pPr>
        <w:jc w:val="both"/>
        <w:ind w:left="652" w:hanging="328"/>
        <w:spacing w:after="0" w:line="258" w:lineRule="auto"/>
        <w:tabs>
          <w:tab w:leader="none" w:pos="652"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You were granted TSR PSU under the 2015 LTIP on October 1, 2017. As of the Termination Date, you will have </w:t>
      </w:r>
      <w:r>
        <w:rPr>
          <w:rFonts w:ascii="Arial" w:cs="Arial" w:eastAsia="Arial" w:hAnsi="Arial"/>
          <w:sz w:val="18"/>
          <w:szCs w:val="18"/>
          <w:b w:val="1"/>
          <w:bCs w:val="1"/>
          <w:color w:val="auto"/>
        </w:rPr>
        <w:t>17,977</w:t>
      </w:r>
      <w:r>
        <w:rPr>
          <w:rFonts w:ascii="Arial" w:cs="Arial" w:eastAsia="Arial" w:hAnsi="Arial"/>
          <w:sz w:val="18"/>
          <w:szCs w:val="18"/>
          <w:color w:val="auto"/>
        </w:rPr>
        <w:t xml:space="preserve"> unvested units from this grant, </w:t>
      </w:r>
      <w:r>
        <w:rPr>
          <w:rFonts w:ascii="Arial" w:cs="Arial" w:eastAsia="Arial" w:hAnsi="Arial"/>
          <w:sz w:val="18"/>
          <w:szCs w:val="18"/>
          <w:b w:val="1"/>
          <w:bCs w:val="1"/>
          <w:color w:val="auto"/>
        </w:rPr>
        <w:t>11,985</w:t>
      </w:r>
      <w:r>
        <w:rPr>
          <w:rFonts w:ascii="Arial" w:cs="Arial" w:eastAsia="Arial" w:hAnsi="Arial"/>
          <w:sz w:val="18"/>
          <w:szCs w:val="18"/>
          <w:color w:val="auto"/>
        </w:rPr>
        <w:t xml:space="preserve"> of which will be forfeited upon termination in accordance with the terms of the Long-Term Incentive Program. The remaining </w:t>
      </w:r>
      <w:r>
        <w:rPr>
          <w:rFonts w:ascii="Arial" w:cs="Arial" w:eastAsia="Arial" w:hAnsi="Arial"/>
          <w:sz w:val="18"/>
          <w:szCs w:val="18"/>
          <w:b w:val="1"/>
          <w:bCs w:val="1"/>
          <w:color w:val="auto"/>
        </w:rPr>
        <w:t>5,992</w:t>
      </w:r>
      <w:r>
        <w:rPr>
          <w:rFonts w:ascii="Arial" w:cs="Arial" w:eastAsia="Arial" w:hAnsi="Arial"/>
          <w:sz w:val="18"/>
          <w:szCs w:val="18"/>
          <w:color w:val="auto"/>
        </w:rPr>
        <w:t xml:space="preserve"> units will continue to be unvested until their originally scheduled vesting date. The precise number of units earned will be based on the Company’s Total Shareowner Return ranking during fiscal years 2018, 2019 and 2020, and the earned PSU will vest on </w:t>
      </w:r>
      <w:r>
        <w:rPr>
          <w:rFonts w:ascii="Arial" w:cs="Arial" w:eastAsia="Arial" w:hAnsi="Arial"/>
          <w:sz w:val="18"/>
          <w:szCs w:val="18"/>
          <w:b w:val="1"/>
          <w:bCs w:val="1"/>
          <w:color w:val="auto"/>
        </w:rPr>
        <w:t>September 30, 2020</w:t>
      </w:r>
      <w:r>
        <w:rPr>
          <w:rFonts w:ascii="Arial" w:cs="Arial" w:eastAsia="Arial" w:hAnsi="Arial"/>
          <w:sz w:val="18"/>
          <w:szCs w:val="18"/>
          <w:color w:val="auto"/>
        </w:rPr>
        <w:t>, and shall be delivered within two months of the vest date.</w:t>
      </w:r>
    </w:p>
    <w:p>
      <w:pPr>
        <w:spacing w:after="0" w:line="187" w:lineRule="exact"/>
        <w:rPr>
          <w:rFonts w:ascii="Arial" w:cs="Arial" w:eastAsia="Arial" w:hAnsi="Arial"/>
          <w:sz w:val="18"/>
          <w:szCs w:val="18"/>
          <w:color w:val="auto"/>
        </w:rPr>
      </w:pPr>
    </w:p>
    <w:p>
      <w:pPr>
        <w:ind w:left="332" w:hanging="332"/>
        <w:spacing w:after="0"/>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You will not be eligible for any additional awards under the 2005 LTIP and the 2015 LTIP.</w:t>
      </w:r>
    </w:p>
    <w:p>
      <w:pPr>
        <w:spacing w:after="0" w:line="221" w:lineRule="exact"/>
        <w:rPr>
          <w:rFonts w:ascii="Arial" w:cs="Arial" w:eastAsia="Arial" w:hAnsi="Arial"/>
          <w:sz w:val="18"/>
          <w:szCs w:val="18"/>
          <w:color w:val="auto"/>
        </w:rPr>
      </w:pPr>
    </w:p>
    <w:p>
      <w:pPr>
        <w:ind w:left="332" w:hanging="332"/>
        <w:spacing w:after="0"/>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Your final quarterly payment under the Company’s Personal Choice Program will be paid in </w:t>
      </w:r>
      <w:r>
        <w:rPr>
          <w:rFonts w:ascii="Arial" w:cs="Arial" w:eastAsia="Arial" w:hAnsi="Arial"/>
          <w:sz w:val="18"/>
          <w:szCs w:val="18"/>
          <w:b w:val="1"/>
          <w:bCs w:val="1"/>
          <w:color w:val="auto"/>
        </w:rPr>
        <w:t>August 2018</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jc w:val="both"/>
        <w:ind w:left="332" w:hanging="332"/>
        <w:spacing w:after="0" w:line="257" w:lineRule="auto"/>
        <w:tabs>
          <w:tab w:leader="none" w:pos="332" w:val="left"/>
        </w:tabs>
        <w:numPr>
          <w:ilvl w:val="0"/>
          <w:numId w:val="64"/>
        </w:numPr>
        <w:rPr>
          <w:rFonts w:ascii="Arial" w:cs="Arial" w:eastAsia="Arial" w:hAnsi="Arial"/>
          <w:sz w:val="18"/>
          <w:szCs w:val="18"/>
          <w:color w:val="auto"/>
        </w:rPr>
      </w:pPr>
      <w:r>
        <w:rPr>
          <w:rFonts w:ascii="Arial" w:cs="Arial" w:eastAsia="Arial" w:hAnsi="Arial"/>
          <w:sz w:val="18"/>
          <w:szCs w:val="18"/>
          <w:color w:val="auto"/>
        </w:rPr>
        <w:t>All reimbursements or in-kind benefits under this Agreement shall be made or provided in accordance with the requirements of Section 409A of the Code, including, where applicable: (i) the amount of expenses eligible for reimbursement or the provision of in-kind benefits in one year will not affect eligibility for reimbursements or benefits in any other year; (ii) any reimbursement of eligible expenses will be made on or before the last day of the year following the year in which the expense was incurred; and (iii) your right to reimbursement shall not be subject to liquidation or exchange for another benefit.</w:t>
      </w:r>
    </w:p>
    <w:p>
      <w:pPr>
        <w:sectPr>
          <w:pgSz w:w="11900" w:h="16838" w:orient="portrait"/>
          <w:cols w:equalWidth="0" w:num="1">
            <w:col w:w="11412"/>
          </w:cols>
          <w:pgMar w:left="248" w:top="796" w:right="239" w:bottom="1440" w:gutter="0" w:footer="0" w:header="0"/>
        </w:sectPr>
      </w:pPr>
    </w:p>
    <w:bookmarkStart w:id="76" w:name="page77"/>
    <w:bookmarkEnd w:id="76"/>
    <w:p>
      <w:pPr>
        <w:jc w:val="center"/>
        <w:ind w:right="-39"/>
        <w:spacing w:after="0"/>
        <w:rPr>
          <w:sz w:val="20"/>
          <w:szCs w:val="20"/>
          <w:color w:val="auto"/>
        </w:rPr>
      </w:pPr>
      <w:r>
        <w:rPr>
          <w:rFonts w:ascii="Arial" w:cs="Arial" w:eastAsia="Arial" w:hAnsi="Arial"/>
          <w:sz w:val="18"/>
          <w:szCs w:val="18"/>
          <w:b w:val="1"/>
          <w:bCs w:val="1"/>
          <w:color w:val="auto"/>
        </w:rPr>
        <w:t>EXHIBIT A</w:t>
      </w:r>
    </w:p>
    <w:p>
      <w:pPr>
        <w:spacing w:after="0" w:line="229"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In or around March 2018, Campbell Soup Company (the “Company”), as part of an examination of its corporate structure and design, decided to eliminate and restructure certain positions on the Campbell Leadership Team. The Company decided to offer all employees whose roles were eliminated and who did not move into another permanent role with the Company an amount of severance pay and other benefits, calculated in accordance with its Severance Pay Plan for Salaried Employees, in exchange for the execution of a Severance Agreement and General Release. In accordance with the Age Discrimination in Employment Act, 29 U.S.C. § 626(f)(1)(H), the Company is providing the following information to affected employees:</w:t>
      </w:r>
    </w:p>
    <w:p>
      <w:pPr>
        <w:spacing w:after="0" w:line="185" w:lineRule="exact"/>
        <w:rPr>
          <w:sz w:val="20"/>
          <w:szCs w:val="20"/>
          <w:color w:val="auto"/>
        </w:rPr>
      </w:pPr>
    </w:p>
    <w:p>
      <w:pPr>
        <w:ind w:left="660" w:right="260" w:firstLine="645"/>
        <w:spacing w:after="0" w:line="324" w:lineRule="auto"/>
        <w:tabs>
          <w:tab w:leader="none" w:pos="2132"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There are different groups of employees impacted by the Company’s plans to restructure. For these purposes, your decisional unit is the </w:t>
      </w:r>
      <w:r>
        <w:rPr>
          <w:rFonts w:ascii="Arial" w:cs="Arial" w:eastAsia="Arial" w:hAnsi="Arial"/>
          <w:sz w:val="18"/>
          <w:szCs w:val="18"/>
          <w:b w:val="1"/>
          <w:bCs w:val="1"/>
          <w:color w:val="auto"/>
        </w:rPr>
        <w:t>Campbell Leadership Team</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80" w:right="300" w:firstLine="549"/>
        <w:spacing w:after="0" w:line="364" w:lineRule="auto"/>
        <w:tabs>
          <w:tab w:leader="none" w:pos="14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All employees whose roles were eliminated and who did not move into another permanent role are eligible for severance benefits in accordance with the Campbell Soup Company Severance Pay Plan for Salaried Employees. The criteria applied in determining which positions would be eliminated or redesigned, and which employees would be impacted, included business strategy, corporate design, and job functions and requirement.</w:t>
      </w:r>
    </w:p>
    <w:p>
      <w:pPr>
        <w:spacing w:after="0" w:line="148" w:lineRule="exact"/>
        <w:rPr>
          <w:rFonts w:ascii="Arial" w:cs="Arial" w:eastAsia="Arial" w:hAnsi="Arial"/>
          <w:sz w:val="16"/>
          <w:szCs w:val="16"/>
          <w:color w:val="auto"/>
        </w:rPr>
      </w:pPr>
    </w:p>
    <w:p>
      <w:pPr>
        <w:ind w:left="660" w:right="180" w:firstLine="645"/>
        <w:spacing w:after="0" w:line="311" w:lineRule="auto"/>
        <w:tabs>
          <w:tab w:leader="none" w:pos="2122" w:val="left"/>
        </w:tabs>
        <w:numPr>
          <w:ilvl w:val="1"/>
          <w:numId w:val="66"/>
        </w:numPr>
        <w:rPr>
          <w:rFonts w:ascii="Arial" w:cs="Arial" w:eastAsia="Arial" w:hAnsi="Arial"/>
          <w:sz w:val="18"/>
          <w:szCs w:val="18"/>
          <w:color w:val="auto"/>
        </w:rPr>
      </w:pPr>
      <w:r>
        <w:rPr>
          <w:rFonts w:ascii="Arial" w:cs="Arial" w:eastAsia="Arial" w:hAnsi="Arial"/>
          <w:sz w:val="18"/>
          <w:szCs w:val="18"/>
          <w:color w:val="auto"/>
        </w:rPr>
        <w:t>All persons who are being offered severance pay in exchange for executing a Severance Agreement and General Release must sign the Agreement and return it to the Company within forty-five (45) days after receiving it. Once the signed Agreement is returned to the Company, the employee has seven (7) days in which to revoke the Agreement.</w:t>
      </w:r>
    </w:p>
    <w:p>
      <w:pPr>
        <w:spacing w:after="0" w:line="181" w:lineRule="exact"/>
        <w:rPr>
          <w:sz w:val="20"/>
          <w:szCs w:val="20"/>
          <w:color w:val="auto"/>
        </w:rPr>
      </w:pPr>
    </w:p>
    <w:p>
      <w:pPr>
        <w:ind w:left="660" w:right="20" w:firstLine="645"/>
        <w:spacing w:after="0" w:line="311" w:lineRule="auto"/>
        <w:tabs>
          <w:tab w:leader="none" w:pos="2132" w:val="left"/>
        </w:tabs>
        <w:numPr>
          <w:ilvl w:val="0"/>
          <w:numId w:val="67"/>
        </w:numPr>
        <w:rPr>
          <w:rFonts w:ascii="Arial" w:cs="Arial" w:eastAsia="Arial" w:hAnsi="Arial"/>
          <w:sz w:val="18"/>
          <w:szCs w:val="18"/>
          <w:color w:val="auto"/>
        </w:rPr>
      </w:pPr>
      <w:r>
        <w:rPr>
          <w:rFonts w:ascii="Arial" w:cs="Arial" w:eastAsia="Arial" w:hAnsi="Arial"/>
          <w:sz w:val="18"/>
          <w:szCs w:val="18"/>
          <w:color w:val="auto"/>
        </w:rPr>
        <w:t xml:space="preserve">Again, there are different groups of employees impacted by the Company’s plans to restructure. We are providing the following information to you about other employees who are being impacted around the same time, including those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in your decisional unit. Your decisional unit can be found at </w:t>
      </w:r>
      <w:r>
        <w:rPr>
          <w:rFonts w:ascii="Arial" w:cs="Arial" w:eastAsia="Arial" w:hAnsi="Arial"/>
          <w:sz w:val="18"/>
          <w:szCs w:val="18"/>
          <w:b w:val="1"/>
          <w:bCs w:val="1"/>
          <w:color w:val="auto"/>
        </w:rPr>
        <w:t>pages 1-2</w:t>
      </w:r>
      <w:r>
        <w:rPr>
          <w:rFonts w:ascii="Arial" w:cs="Arial" w:eastAsia="Arial" w:hAnsi="Arial"/>
          <w:sz w:val="18"/>
          <w:szCs w:val="18"/>
          <w:color w:val="auto"/>
        </w:rPr>
        <w:t>.</w:t>
      </w:r>
    </w:p>
    <w:p>
      <w:pPr>
        <w:spacing w:after="0" w:line="15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is a listing of the job titles and ages of the employees in both of decisional units who were and were not selected for termination and an offer of severance benefits in exchange for signing a Severance Agreement and General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203200</wp:posOffset>
            </wp:positionV>
            <wp:extent cx="5591175" cy="31730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5591175" cy="3173095"/>
                    </a:xfrm>
                    <a:prstGeom prst="rect">
                      <a:avLst/>
                    </a:prstGeom>
                    <a:noFill/>
                  </pic:spPr>
                </pic:pic>
              </a:graphicData>
            </a:graphic>
          </wp:anchor>
        </w:drawing>
      </w:r>
    </w:p>
    <w:p>
      <w:pPr>
        <w:spacing w:after="0" w:line="322" w:lineRule="exact"/>
        <w:rPr>
          <w:sz w:val="20"/>
          <w:szCs w:val="20"/>
          <w:color w:val="auto"/>
        </w:rPr>
      </w:pPr>
    </w:p>
    <w:p>
      <w:pPr>
        <w:ind w:left="1360"/>
        <w:spacing w:after="0"/>
        <w:rPr>
          <w:sz w:val="20"/>
          <w:szCs w:val="20"/>
          <w:color w:val="auto"/>
        </w:rPr>
      </w:pPr>
      <w:r>
        <w:rPr>
          <w:rFonts w:ascii="Arial" w:cs="Arial" w:eastAsia="Arial" w:hAnsi="Arial"/>
          <w:sz w:val="18"/>
          <w:szCs w:val="18"/>
          <w:b w:val="1"/>
          <w:bCs w:val="1"/>
          <w:color w:val="auto"/>
        </w:rPr>
        <w:t>Campbell Leadership Team</w:t>
      </w:r>
    </w:p>
    <w:p>
      <w:pPr>
        <w:spacing w:after="0" w:line="34" w:lineRule="exact"/>
        <w:rPr>
          <w:sz w:val="20"/>
          <w:szCs w:val="20"/>
          <w:color w:val="auto"/>
        </w:rPr>
      </w:pPr>
    </w:p>
    <w:tbl>
      <w:tblPr>
        <w:tblLayout w:type="fixed"/>
        <w:tblInd w:w="1320" w:type="dxa"/>
        <w:tblCellMar>
          <w:top w:w="0" w:type="dxa"/>
          <w:left w:w="0" w:type="dxa"/>
          <w:bottom w:w="0" w:type="dxa"/>
          <w:right w:w="0" w:type="dxa"/>
        </w:tblCellMar>
      </w:tblPr>
      <w:tr>
        <w:trPr>
          <w:trHeight w:val="238"/>
        </w:trPr>
        <w:tc>
          <w:tcPr>
            <w:tcW w:w="3360" w:type="dxa"/>
            <w:vAlign w:val="bottom"/>
            <w:tcBorders>
              <w:top w:val="single" w:sz="8" w:color="auto"/>
              <w:right w:val="single" w:sz="8" w:color="auto"/>
            </w:tcBorders>
            <w:shd w:val="clear" w:color="auto" w:fill="D9D9D9"/>
          </w:tcPr>
          <w:p>
            <w:pPr>
              <w:spacing w:after="0"/>
              <w:rPr>
                <w:sz w:val="20"/>
                <w:szCs w:val="20"/>
                <w:color w:val="auto"/>
              </w:rPr>
            </w:pPr>
          </w:p>
        </w:tc>
        <w:tc>
          <w:tcPr>
            <w:tcW w:w="19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Age</w:t>
            </w:r>
          </w:p>
        </w:tc>
        <w:tc>
          <w:tcPr>
            <w:tcW w:w="1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Selected to Receive</w:t>
            </w:r>
          </w:p>
        </w:tc>
        <w:tc>
          <w:tcPr>
            <w:tcW w:w="180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Not Selected to</w:t>
            </w:r>
          </w:p>
        </w:tc>
        <w:tc>
          <w:tcPr>
            <w:tcW w:w="20" w:type="dxa"/>
            <w:vAlign w:val="bottom"/>
            <w:tcBorders>
              <w:top w:val="single" w:sz="8" w:color="auto"/>
            </w:tcBorders>
          </w:tcPr>
          <w:p>
            <w:pPr>
              <w:spacing w:after="0"/>
              <w:rPr>
                <w:sz w:val="20"/>
                <w:szCs w:val="20"/>
                <w:color w:val="auto"/>
              </w:rPr>
            </w:pPr>
          </w:p>
        </w:tc>
      </w:tr>
      <w:tr>
        <w:trPr>
          <w:trHeight w:val="261"/>
        </w:trPr>
        <w:tc>
          <w:tcPr>
            <w:tcW w:w="3360" w:type="dxa"/>
            <w:vAlign w:val="bottom"/>
            <w:tcBorders>
              <w:bottom w:val="single" w:sz="8" w:color="D9D9D9"/>
              <w:right w:val="single" w:sz="8" w:color="auto"/>
            </w:tcBorders>
            <w:shd w:val="clear" w:color="auto" w:fill="D9D9D9"/>
          </w:tcPr>
          <w:p>
            <w:pPr>
              <w:ind w:left="1340"/>
              <w:spacing w:after="0"/>
              <w:rPr>
                <w:sz w:val="20"/>
                <w:szCs w:val="20"/>
                <w:color w:val="auto"/>
              </w:rPr>
            </w:pPr>
            <w:r>
              <w:rPr>
                <w:rFonts w:ascii="Arial" w:cs="Arial" w:eastAsia="Arial" w:hAnsi="Arial"/>
                <w:sz w:val="18"/>
                <w:szCs w:val="18"/>
                <w:b w:val="1"/>
                <w:bCs w:val="1"/>
                <w:color w:val="auto"/>
              </w:rPr>
              <w:t>Job Title</w:t>
            </w:r>
          </w:p>
        </w:tc>
        <w:tc>
          <w:tcPr>
            <w:tcW w:w="19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(as of 3/16/2018)</w:t>
            </w:r>
          </w:p>
        </w:tc>
        <w:tc>
          <w:tcPr>
            <w:tcW w:w="16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Severance</w:t>
            </w:r>
          </w:p>
        </w:tc>
        <w:tc>
          <w:tcPr>
            <w:tcW w:w="1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Receive Severance</w:t>
            </w:r>
          </w:p>
        </w:tc>
        <w:tc>
          <w:tcPr>
            <w:tcW w:w="20" w:type="dxa"/>
            <w:vAlign w:val="bottom"/>
          </w:tcPr>
          <w:p>
            <w:pPr>
              <w:spacing w:after="0"/>
              <w:rPr>
                <w:sz w:val="22"/>
                <w:szCs w:val="22"/>
                <w:color w:val="auto"/>
              </w:rPr>
            </w:pPr>
          </w:p>
        </w:tc>
      </w:tr>
      <w:tr>
        <w:trPr>
          <w:trHeight w:val="222"/>
        </w:trPr>
        <w:tc>
          <w:tcPr>
            <w:tcW w:w="3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President, Americas Simple Meals &amp;</w:t>
            </w:r>
          </w:p>
        </w:tc>
        <w:tc>
          <w:tcPr>
            <w:tcW w:w="1960" w:type="dxa"/>
            <w:vAlign w:val="bottom"/>
            <w:tcBorders>
              <w:top w:val="single" w:sz="8" w:color="auto"/>
              <w:right w:val="single" w:sz="8" w:color="auto"/>
            </w:tcBorders>
          </w:tcPr>
          <w:p>
            <w:pPr>
              <w:spacing w:after="0"/>
              <w:rPr>
                <w:sz w:val="19"/>
                <w:szCs w:val="19"/>
                <w:color w:val="auto"/>
              </w:rPr>
            </w:pPr>
          </w:p>
        </w:tc>
        <w:tc>
          <w:tcPr>
            <w:tcW w:w="1660" w:type="dxa"/>
            <w:vAlign w:val="bottom"/>
            <w:tcBorders>
              <w:top w:val="single" w:sz="8" w:color="auto"/>
              <w:right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30"/>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Beverages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President, Campbell Fresh</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President, Global Biscuits &amp; Snacks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Senior Vice President &amp; Chief Financial</w:t>
            </w:r>
          </w:p>
        </w:tc>
        <w:tc>
          <w:tcPr>
            <w:tcW w:w="19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Officer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Senior Vice President &amp; Chief Human</w:t>
            </w:r>
          </w:p>
        </w:tc>
        <w:tc>
          <w:tcPr>
            <w:tcW w:w="19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Resources Officer</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9"/>
              </w:rPr>
              <w:t>Senior Vice President &amp; General Counsel</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3"/>
              </w:rPr>
              <w:t>Senior Vice President, Global Research and</w:t>
            </w:r>
          </w:p>
        </w:tc>
        <w:tc>
          <w:tcPr>
            <w:tcW w:w="19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Development</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w w:val="94"/>
              </w:rPr>
              <w:t>Senior Vice President, Global Supply Chain</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Senior Vice President, Integrated Global</w:t>
            </w:r>
          </w:p>
        </w:tc>
        <w:tc>
          <w:tcPr>
            <w:tcW w:w="19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Services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Senior Vice President, U.S. Sales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Vice President, Corporate Strategy</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ectPr>
          <w:pgSz w:w="11900" w:h="16838" w:orient="portrait"/>
          <w:cols w:equalWidth="0" w:num="1">
            <w:col w:w="11400"/>
          </w:cols>
          <w:pgMar w:left="240" w:top="580" w:right="259" w:bottom="1440" w:gutter="0" w:footer="0" w:header="0"/>
        </w:sectPr>
      </w:pPr>
    </w:p>
    <w:bookmarkStart w:id="77" w:name="page78"/>
    <w:bookmarkEnd w:id="77"/>
    <w:p>
      <w:pPr>
        <w:ind w:left="1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989330</wp:posOffset>
            </wp:positionH>
            <wp:positionV relativeFrom="page">
              <wp:posOffset>466090</wp:posOffset>
            </wp:positionV>
            <wp:extent cx="5591175" cy="25812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5591175" cy="2581275"/>
                    </a:xfrm>
                    <a:prstGeom prst="rect">
                      <a:avLst/>
                    </a:prstGeom>
                    <a:noFill/>
                  </pic:spPr>
                </pic:pic>
              </a:graphicData>
            </a:graphic>
          </wp:anchor>
        </w:drawing>
        <w:t>IGS Finance Leadership Team</w:t>
      </w:r>
    </w:p>
    <w:p>
      <w:pPr>
        <w:spacing w:after="0" w:line="34"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360" w:type="dxa"/>
            <w:vAlign w:val="bottom"/>
            <w:tcBorders>
              <w:top w:val="single" w:sz="8" w:color="auto"/>
              <w:right w:val="single" w:sz="8" w:color="auto"/>
            </w:tcBorders>
            <w:shd w:val="clear" w:color="auto" w:fill="D9D9D9"/>
          </w:tcPr>
          <w:p>
            <w:pPr>
              <w:spacing w:after="0"/>
              <w:rPr>
                <w:sz w:val="20"/>
                <w:szCs w:val="20"/>
                <w:color w:val="auto"/>
              </w:rPr>
            </w:pPr>
          </w:p>
        </w:tc>
        <w:tc>
          <w:tcPr>
            <w:tcW w:w="19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Age</w:t>
            </w:r>
          </w:p>
        </w:tc>
        <w:tc>
          <w:tcPr>
            <w:tcW w:w="166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Selected to Receive</w:t>
            </w:r>
          </w:p>
        </w:tc>
        <w:tc>
          <w:tcPr>
            <w:tcW w:w="1800" w:type="dxa"/>
            <w:vAlign w:val="bottom"/>
            <w:tcBorders>
              <w:top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Not Selected to</w:t>
            </w:r>
          </w:p>
        </w:tc>
        <w:tc>
          <w:tcPr>
            <w:tcW w:w="20" w:type="dxa"/>
            <w:vAlign w:val="bottom"/>
            <w:tcBorders>
              <w:top w:val="single" w:sz="8" w:color="auto"/>
            </w:tcBorders>
          </w:tcPr>
          <w:p>
            <w:pPr>
              <w:spacing w:after="0"/>
              <w:rPr>
                <w:sz w:val="20"/>
                <w:szCs w:val="20"/>
                <w:color w:val="auto"/>
              </w:rPr>
            </w:pPr>
          </w:p>
        </w:tc>
      </w:tr>
      <w:tr>
        <w:trPr>
          <w:trHeight w:val="261"/>
        </w:trPr>
        <w:tc>
          <w:tcPr>
            <w:tcW w:w="3360" w:type="dxa"/>
            <w:vAlign w:val="bottom"/>
            <w:tcBorders>
              <w:bottom w:val="single" w:sz="8" w:color="D9D9D9"/>
              <w:right w:val="single" w:sz="8" w:color="auto"/>
            </w:tcBorders>
            <w:shd w:val="clear" w:color="auto" w:fill="D9D9D9"/>
          </w:tcPr>
          <w:p>
            <w:pPr>
              <w:ind w:left="1340"/>
              <w:spacing w:after="0"/>
              <w:rPr>
                <w:sz w:val="20"/>
                <w:szCs w:val="20"/>
                <w:color w:val="auto"/>
              </w:rPr>
            </w:pPr>
            <w:r>
              <w:rPr>
                <w:rFonts w:ascii="Arial" w:cs="Arial" w:eastAsia="Arial" w:hAnsi="Arial"/>
                <w:sz w:val="18"/>
                <w:szCs w:val="18"/>
                <w:b w:val="1"/>
                <w:bCs w:val="1"/>
                <w:color w:val="auto"/>
              </w:rPr>
              <w:t>Job Title</w:t>
            </w:r>
          </w:p>
        </w:tc>
        <w:tc>
          <w:tcPr>
            <w:tcW w:w="19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0"/>
              </w:rPr>
              <w:t>(as of 3/16/2018)</w:t>
            </w:r>
          </w:p>
        </w:tc>
        <w:tc>
          <w:tcPr>
            <w:tcW w:w="166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6"/>
              </w:rPr>
              <w:t>Severance</w:t>
            </w:r>
          </w:p>
        </w:tc>
        <w:tc>
          <w:tcPr>
            <w:tcW w:w="1800" w:type="dxa"/>
            <w:vAlign w:val="bottom"/>
            <w:tcBorders>
              <w:bottom w:val="single" w:sz="8" w:color="D9D9D9"/>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5"/>
              </w:rPr>
              <w:t>Receive Severance</w:t>
            </w:r>
          </w:p>
        </w:tc>
        <w:tc>
          <w:tcPr>
            <w:tcW w:w="20" w:type="dxa"/>
            <w:vAlign w:val="bottom"/>
          </w:tcPr>
          <w:p>
            <w:pPr>
              <w:spacing w:after="0"/>
              <w:rPr>
                <w:sz w:val="22"/>
                <w:szCs w:val="22"/>
                <w:color w:val="auto"/>
              </w:rPr>
            </w:pPr>
          </w:p>
        </w:tc>
      </w:tr>
      <w:tr>
        <w:trPr>
          <w:trHeight w:val="237"/>
        </w:trPr>
        <w:tc>
          <w:tcPr>
            <w:tcW w:w="336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Director - Finance Enterprise Projects</w:t>
            </w:r>
          </w:p>
        </w:tc>
        <w:tc>
          <w:tcPr>
            <w:tcW w:w="1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top w:val="single" w:sz="8" w:color="auto"/>
              <w:right w:val="single" w:sz="8" w:color="auto"/>
            </w:tcBorders>
          </w:tcPr>
          <w:p>
            <w:pPr>
              <w:spacing w:after="0"/>
              <w:rPr>
                <w:sz w:val="20"/>
                <w:szCs w:val="20"/>
                <w:color w:val="auto"/>
              </w:rPr>
            </w:pPr>
          </w:p>
        </w:tc>
        <w:tc>
          <w:tcPr>
            <w:tcW w:w="18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Borders>
              <w:top w:val="single" w:sz="8" w:color="auto"/>
            </w:tcBorders>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 Global Transactional Services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Commercial Spend &amp; Global</w:t>
            </w:r>
          </w:p>
        </w:tc>
        <w:tc>
          <w:tcPr>
            <w:tcW w:w="19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Accounting Services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22"/>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Reporting, Planning &amp; Analytics</w:t>
            </w:r>
          </w:p>
        </w:tc>
        <w:tc>
          <w:tcPr>
            <w:tcW w:w="1960" w:type="dxa"/>
            <w:vAlign w:val="bottom"/>
            <w:tcBorders>
              <w:right w:val="single" w:sz="8" w:color="auto"/>
            </w:tcBorders>
          </w:tcPr>
          <w:p>
            <w:pPr>
              <w:spacing w:after="0"/>
              <w:rPr>
                <w:sz w:val="19"/>
                <w:szCs w:val="19"/>
                <w:color w:val="auto"/>
              </w:rPr>
            </w:pPr>
          </w:p>
        </w:tc>
        <w:tc>
          <w:tcPr>
            <w:tcW w:w="1660" w:type="dxa"/>
            <w:vAlign w:val="bottom"/>
            <w:tcBorders>
              <w:right w:val="single" w:sz="8" w:color="auto"/>
            </w:tcBorders>
          </w:tcPr>
          <w:p>
            <w:pPr>
              <w:spacing w:after="0"/>
              <w:rPr>
                <w:sz w:val="19"/>
                <w:szCs w:val="19"/>
                <w:color w:val="auto"/>
              </w:rPr>
            </w:pPr>
          </w:p>
        </w:tc>
        <w:tc>
          <w:tcPr>
            <w:tcW w:w="18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COE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 Supply Chain COE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Manager FP&amp;A - Plum</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Sr Manager - Finance Technology</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Sr Manager, FP&amp;A Governance</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Sr Manager, FP&amp;A Smart Spend</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37"/>
        </w:trPr>
        <w:tc>
          <w:tcPr>
            <w:tcW w:w="33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VP, Finance - IGS</w:t>
            </w:r>
          </w:p>
        </w:tc>
        <w:tc>
          <w:tcPr>
            <w:tcW w:w="19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w:t>
            </w:r>
          </w:p>
        </w:tc>
        <w:tc>
          <w:tcPr>
            <w:tcW w:w="16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X</w:t>
            </w:r>
          </w:p>
        </w:tc>
        <w:tc>
          <w:tcPr>
            <w:tcW w:w="1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3360" w:type="dxa"/>
            <w:vAlign w:val="bottom"/>
            <w:tcBorders>
              <w:bottom w:val="single" w:sz="8" w:color="auto"/>
              <w:right w:val="single" w:sz="8" w:color="auto"/>
            </w:tcBorders>
          </w:tcPr>
          <w:p>
            <w:pPr>
              <w:spacing w:after="0"/>
              <w:rPr>
                <w:sz w:val="2"/>
                <w:szCs w:val="2"/>
                <w:color w:val="auto"/>
              </w:rPr>
            </w:pPr>
          </w:p>
        </w:tc>
        <w:tc>
          <w:tcPr>
            <w:tcW w:w="19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bl>
    <w:p>
      <w:pPr>
        <w:sectPr>
          <w:pgSz w:w="11900" w:h="16838" w:orient="portrait"/>
          <w:cols w:equalWidth="0" w:num="1">
            <w:col w:w="9019"/>
          </w:cols>
          <w:pgMar w:left="1440" w:top="756" w:right="1440"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Keith R. McLoughlin, certify that:</w:t>
      </w:r>
    </w:p>
    <w:p>
      <w:pPr>
        <w:spacing w:after="0" w:line="171" w:lineRule="exact"/>
        <w:rPr>
          <w:sz w:val="20"/>
          <w:szCs w:val="20"/>
          <w:color w:val="auto"/>
        </w:rPr>
      </w:pPr>
    </w:p>
    <w:p>
      <w:pPr>
        <w:ind w:left="400" w:hanging="176"/>
        <w:spacing w:after="0"/>
        <w:tabs>
          <w:tab w:leader="none" w:pos="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2018</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R. McLoughlin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Interim President and Chief Executive Officer</w:t>
      </w:r>
    </w:p>
    <w:p>
      <w:pPr>
        <w:sectPr>
          <w:pgSz w:w="11900" w:h="16838" w:orient="portrait"/>
          <w:cols w:equalWidth="0" w:num="1">
            <w:col w:w="11420"/>
          </w:cols>
          <w:pgMar w:left="240" w:top="580" w:right="2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6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6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6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6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5, 2018</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34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29, 2018 (the “Report”), I, Keith R. McLoughlin, Interim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5, 2018</w:t>
      </w:r>
    </w:p>
    <w:p>
      <w:pPr>
        <w:spacing w:after="0" w:line="1" w:lineRule="exact"/>
        <w:rPr>
          <w:sz w:val="20"/>
          <w:szCs w:val="20"/>
          <w:color w:val="auto"/>
        </w:rPr>
      </w:pPr>
    </w:p>
    <w:p>
      <w:pPr>
        <w:ind w:left="3740"/>
        <w:spacing w:after="0"/>
        <w:tabs>
          <w:tab w:leader="none" w:pos="4180" w:val="left"/>
        </w:tabs>
        <w:rPr>
          <w:sz w:val="20"/>
          <w:szCs w:val="20"/>
          <w:color w:val="auto"/>
        </w:rPr>
      </w:pPr>
      <w:r>
        <w:rPr>
          <w:rFonts w:ascii="Arial" w:cs="Arial" w:eastAsia="Arial" w:hAnsi="Arial"/>
          <w:sz w:val="18"/>
          <w:szCs w:val="18"/>
          <w:color w:val="auto"/>
        </w:rPr>
        <w:t>By:</w:t>
        <w:tab/>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31750</wp:posOffset>
            </wp:positionV>
            <wp:extent cx="3413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Keith R. McLoughlin</w:t>
      </w:r>
    </w:p>
    <w:p>
      <w:pPr>
        <w:spacing w:after="0" w:line="75" w:lineRule="exact"/>
        <w:rPr>
          <w:sz w:val="20"/>
          <w:szCs w:val="20"/>
          <w:color w:val="auto"/>
        </w:rPr>
      </w:pPr>
    </w:p>
    <w:p>
      <w:pPr>
        <w:sectPr>
          <w:pgSz w:w="11900" w:h="16838" w:orient="portrait"/>
          <w:cols w:equalWidth="0" w:num="2">
            <w:col w:w="4680" w:space="400"/>
            <w:col w:w="6340"/>
          </w:cols>
          <w:pgMar w:left="240" w:top="580" w:right="239" w:bottom="1440" w:gutter="0" w:footer="0" w:header="0"/>
          <w:type w:val="continuous"/>
        </w:sectPr>
      </w:pPr>
    </w:p>
    <w:p>
      <w:pPr>
        <w:ind w:left="420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Interim President and Chief Executive Officer</w:t>
      </w:r>
    </w:p>
    <w:p>
      <w:pPr>
        <w:spacing w:after="0" w:line="211" w:lineRule="exact"/>
        <w:rPr>
          <w:sz w:val="20"/>
          <w:szCs w:val="20"/>
          <w:color w:val="auto"/>
        </w:rPr>
      </w:pPr>
    </w:p>
    <w:p>
      <w:pPr>
        <w:sectPr>
          <w:pgSz w:w="11900" w:h="16838" w:orient="portrait"/>
          <w:cols w:equalWidth="0" w:num="2">
            <w:col w:w="4580" w:space="500"/>
            <w:col w:w="6340"/>
          </w:cols>
          <w:pgMar w:left="240" w:top="580" w:right="239" w:bottom="1440" w:gutter="0" w:footer="0" w:header="0"/>
          <w:type w:val="continuous"/>
        </w:sectPr>
      </w:pPr>
    </w:p>
    <w:p>
      <w:pPr>
        <w:spacing w:after="0" w:line="22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April 29, 2018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5, 2018</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2367"/>
    <w:multiLevelType w:val="hybridMultilevel"/>
    <w:lvl w:ilvl="0">
      <w:lvlJc w:val="left"/>
      <w:lvlText w:val="%1."/>
      <w:numFmt w:val="decimal"/>
      <w:start w:val="1"/>
    </w:lvl>
  </w:abstractNum>
  <w:abstractNum w:abstractNumId="1">
    <w:nsid w:val="3804823E"/>
    <w:multiLevelType w:val="hybridMultilevel"/>
    <w:lvl w:ilvl="0">
      <w:lvlJc w:val="left"/>
      <w:lvlText w:val="%1."/>
      <w:numFmt w:val="decimal"/>
      <w:start w:val="2"/>
    </w:lvl>
  </w:abstractNum>
  <w:abstractNum w:abstractNumId="2">
    <w:nsid w:val="77465F01"/>
    <w:multiLevelType w:val="hybridMultilevel"/>
    <w:lvl w:ilvl="0">
      <w:lvlJc w:val="left"/>
      <w:lvlText w:val="%1."/>
      <w:numFmt w:val="decimal"/>
      <w:start w:val="3"/>
    </w:lvl>
  </w:abstractNum>
  <w:abstractNum w:abstractNumId="3">
    <w:nsid w:val="7724C67E"/>
    <w:multiLevelType w:val="hybridMultilevel"/>
    <w:lvl w:ilvl="0">
      <w:lvlJc w:val="left"/>
      <w:lvlText w:val="•"/>
      <w:numFmt w:val="bullet"/>
      <w:start w:val="1"/>
    </w:lvl>
  </w:abstractNum>
  <w:abstractNum w:abstractNumId="4">
    <w:nsid w:val="5C482A97"/>
    <w:multiLevelType w:val="hybridMultilevel"/>
    <w:lvl w:ilvl="0">
      <w:lvlJc w:val="left"/>
      <w:lvlText w:val="•"/>
      <w:numFmt w:val="bullet"/>
      <w:start w:val="1"/>
    </w:lvl>
  </w:abstractNum>
  <w:abstractNum w:abstractNumId="5">
    <w:nsid w:val="2463B9EA"/>
    <w:multiLevelType w:val="hybridMultilevel"/>
    <w:lvl w:ilvl="0">
      <w:lvlJc w:val="left"/>
      <w:lvlText w:val="%1."/>
      <w:numFmt w:val="decimal"/>
      <w:start w:val="4"/>
    </w:lvl>
  </w:abstractNum>
  <w:abstractNum w:abstractNumId="6">
    <w:nsid w:val="5E884ADC"/>
    <w:multiLevelType w:val="hybridMultilevel"/>
    <w:lvl w:ilvl="0">
      <w:lvlJc w:val="left"/>
      <w:lvlText w:val="(%1)"/>
      <w:numFmt w:val="decimal"/>
      <w:start w:val="1"/>
    </w:lvl>
  </w:abstractNum>
  <w:abstractNum w:abstractNumId="7">
    <w:nsid w:val="51EAD36B"/>
    <w:multiLevelType w:val="hybridMultilevel"/>
    <w:lvl w:ilvl="0">
      <w:lvlJc w:val="left"/>
      <w:lvlText w:val="(%1)"/>
      <w:numFmt w:val="decimal"/>
      <w:start w:val="1"/>
    </w:lvl>
  </w:abstractNum>
  <w:abstractNum w:abstractNumId="8">
    <w:nsid w:val="2D517796"/>
    <w:multiLevelType w:val="hybridMultilevel"/>
    <w:lvl w:ilvl="0">
      <w:lvlJc w:val="left"/>
      <w:lvlText w:val="%1."/>
      <w:numFmt w:val="decimal"/>
      <w:start w:val="6"/>
    </w:lvl>
  </w:abstractNum>
  <w:abstractNum w:abstractNumId="9">
    <w:nsid w:val="580BD78F"/>
    <w:multiLevelType w:val="hybridMultilevel"/>
    <w:lvl w:ilvl="0">
      <w:lvlJc w:val="left"/>
      <w:lvlText w:val="•"/>
      <w:numFmt w:val="bullet"/>
      <w:start w:val="1"/>
    </w:lvl>
  </w:abstractNum>
  <w:abstractNum w:abstractNumId="10">
    <w:nsid w:val="153EA438"/>
    <w:multiLevelType w:val="hybridMultilevel"/>
    <w:lvl w:ilvl="0">
      <w:lvlJc w:val="left"/>
      <w:lvlText w:val="•"/>
      <w:numFmt w:val="bullet"/>
      <w:start w:val="1"/>
    </w:lvl>
  </w:abstractNum>
  <w:abstractNum w:abstractNumId="11">
    <w:nsid w:val="3855585C"/>
    <w:multiLevelType w:val="hybridMultilevel"/>
    <w:lvl w:ilvl="0">
      <w:lvlJc w:val="left"/>
      <w:lvlText w:val="(%1)"/>
      <w:numFmt w:val="decimal"/>
      <w:start w:val="1"/>
    </w:lvl>
  </w:abstractNum>
  <w:abstractNum w:abstractNumId="12">
    <w:nsid w:val="70A64E2A"/>
    <w:multiLevelType w:val="hybridMultilevel"/>
    <w:lvl w:ilvl="0">
      <w:lvlJc w:val="left"/>
      <w:lvlText w:val="%1."/>
      <w:numFmt w:val="decimal"/>
      <w:start w:val="7"/>
    </w:lvl>
  </w:abstractNum>
  <w:abstractNum w:abstractNumId="13">
    <w:nsid w:val="6A2342EC"/>
    <w:multiLevelType w:val="hybridMultilevel"/>
    <w:lvl w:ilvl="0">
      <w:lvlJc w:val="left"/>
      <w:lvlText w:val="(%1)"/>
      <w:numFmt w:val="decimal"/>
      <w:start w:val="1"/>
    </w:lvl>
  </w:abstractNum>
  <w:abstractNum w:abstractNumId="14">
    <w:nsid w:val="2A487CB0"/>
    <w:multiLevelType w:val="hybridMultilevel"/>
    <w:lvl w:ilvl="0">
      <w:lvlJc w:val="left"/>
      <w:lvlText w:val="(%1)"/>
      <w:numFmt w:val="decimal"/>
      <w:start w:val="1"/>
    </w:lvl>
  </w:abstractNum>
  <w:abstractNum w:abstractNumId="15">
    <w:nsid w:val="1D4ED43B"/>
    <w:multiLevelType w:val="hybridMultilevel"/>
    <w:lvl w:ilvl="0">
      <w:lvlJc w:val="left"/>
      <w:lvlText w:val="%1."/>
      <w:numFmt w:val="decimal"/>
      <w:start w:val="8"/>
    </w:lvl>
  </w:abstractNum>
  <w:abstractNum w:abstractNumId="16">
    <w:nsid w:val="725A06FB"/>
    <w:multiLevelType w:val="hybridMultilevel"/>
    <w:lvl w:ilvl="0">
      <w:lvlJc w:val="left"/>
      <w:lvlText w:val="%1."/>
      <w:numFmt w:val="decimal"/>
      <w:start w:val="9"/>
    </w:lvl>
  </w:abstractNum>
  <w:abstractNum w:abstractNumId="17">
    <w:nsid w:val="2CD89A32"/>
    <w:multiLevelType w:val="hybridMultilevel"/>
    <w:lvl w:ilvl="0">
      <w:lvlJc w:val="left"/>
      <w:lvlText w:val="%1."/>
      <w:numFmt w:val="decimal"/>
      <w:start w:val="10"/>
    </w:lvl>
  </w:abstractNum>
  <w:abstractNum w:abstractNumId="18">
    <w:nsid w:val="57E4CCAF"/>
    <w:multiLevelType w:val="hybridMultilevel"/>
    <w:lvl w:ilvl="0">
      <w:lvlJc w:val="left"/>
      <w:lvlText w:val="•"/>
      <w:numFmt w:val="bullet"/>
      <w:start w:val="1"/>
    </w:lvl>
  </w:abstractNum>
  <w:abstractNum w:abstractNumId="19">
    <w:nsid w:val="7A6D8D3C"/>
    <w:multiLevelType w:val="hybridMultilevel"/>
    <w:lvl w:ilvl="0">
      <w:lvlJc w:val="left"/>
      <w:lvlText w:val="•"/>
      <w:numFmt w:val="bullet"/>
      <w:start w:val="1"/>
    </w:lvl>
  </w:abstractNum>
  <w:abstractNum w:abstractNumId="20">
    <w:nsid w:val="4B588F54"/>
    <w:multiLevelType w:val="hybridMultilevel"/>
    <w:lvl w:ilvl="0">
      <w:lvlJc w:val="left"/>
      <w:lvlText w:val="(%1)"/>
      <w:numFmt w:val="decimal"/>
      <w:start w:val="1"/>
    </w:lvl>
  </w:abstractNum>
  <w:abstractNum w:abstractNumId="21">
    <w:nsid w:val="542289EC"/>
    <w:multiLevelType w:val="hybridMultilevel"/>
    <w:lvl w:ilvl="0">
      <w:lvlJc w:val="left"/>
      <w:lvlText w:val="%1."/>
      <w:numFmt w:val="decimal"/>
      <w:start w:val="15"/>
    </w:lvl>
    <w:lvl w:ilvl="1">
      <w:lvlJc w:val="left"/>
      <w:lvlText w:val="•"/>
      <w:numFmt w:val="bullet"/>
      <w:start w:val="1"/>
    </w:lvl>
  </w:abstractNum>
  <w:abstractNum w:abstractNumId="22">
    <w:nsid w:val="6DE91B18"/>
    <w:multiLevelType w:val="hybridMultilevel"/>
    <w:lvl w:ilvl="0">
      <w:lvlJc w:val="left"/>
      <w:lvlText w:val="(%1)"/>
      <w:numFmt w:val="decimal"/>
      <w:start w:val="1"/>
    </w:lvl>
  </w:abstractNum>
  <w:abstractNum w:abstractNumId="23">
    <w:nsid w:val="38437FDB"/>
    <w:multiLevelType w:val="hybridMultilevel"/>
    <w:lvl w:ilvl="0">
      <w:lvlJc w:val="left"/>
      <w:lvlText w:val="(%1)"/>
      <w:numFmt w:val="decimal"/>
      <w:start w:val="1"/>
    </w:lvl>
  </w:abstractNum>
  <w:abstractNum w:abstractNumId="24">
    <w:nsid w:val="7644A45C"/>
    <w:multiLevelType w:val="hybridMultilevel"/>
    <w:lvl w:ilvl="0">
      <w:lvlJc w:val="left"/>
      <w:lvlText w:val="•"/>
      <w:numFmt w:val="bullet"/>
      <w:start w:val="1"/>
    </w:lvl>
  </w:abstractNum>
  <w:abstractNum w:abstractNumId="25">
    <w:nsid w:val="32FFF902"/>
    <w:multiLevelType w:val="hybridMultilevel"/>
    <w:lvl w:ilvl="0">
      <w:lvlJc w:val="left"/>
      <w:lvlText w:val="•"/>
      <w:numFmt w:val="bullet"/>
      <w:start w:val="1"/>
    </w:lvl>
  </w:abstractNum>
  <w:abstractNum w:abstractNumId="26">
    <w:nsid w:val="684A481A"/>
    <w:multiLevelType w:val="hybridMultilevel"/>
    <w:lvl w:ilvl="0">
      <w:lvlJc w:val="left"/>
      <w:lvlText w:val="•"/>
      <w:numFmt w:val="bullet"/>
      <w:start w:val="1"/>
    </w:lvl>
  </w:abstractNum>
  <w:abstractNum w:abstractNumId="27">
    <w:nsid w:val="579478FE"/>
    <w:multiLevelType w:val="hybridMultilevel"/>
    <w:lvl w:ilvl="0">
      <w:lvlJc w:val="left"/>
      <w:lvlText w:val="•"/>
      <w:numFmt w:val="bullet"/>
      <w:start w:val="1"/>
    </w:lvl>
  </w:abstractNum>
  <w:abstractNum w:abstractNumId="28">
    <w:nsid w:val="749ABB43"/>
    <w:multiLevelType w:val="hybridMultilevel"/>
    <w:lvl w:ilvl="0">
      <w:lvlJc w:val="left"/>
      <w:lvlText w:val="(%1)"/>
      <w:numFmt w:val="decimal"/>
      <w:start w:val="1"/>
    </w:lvl>
  </w:abstractNum>
  <w:abstractNum w:abstractNumId="29">
    <w:nsid w:val="3DC240FB"/>
    <w:multiLevelType w:val="hybridMultilevel"/>
    <w:lvl w:ilvl="0">
      <w:lvlJc w:val="left"/>
      <w:lvlText w:val="(%1)"/>
      <w:numFmt w:val="decimal"/>
      <w:start w:val="1"/>
    </w:lvl>
  </w:abstractNum>
  <w:abstractNum w:abstractNumId="30">
    <w:nsid w:val="1BA026FA"/>
    <w:multiLevelType w:val="hybridMultilevel"/>
    <w:lvl w:ilvl="0">
      <w:lvlJc w:val="left"/>
      <w:lvlText w:val="(%1)"/>
      <w:numFmt w:val="decimal"/>
      <w:start w:val="1"/>
    </w:lvl>
  </w:abstractNum>
  <w:abstractNum w:abstractNumId="31">
    <w:nsid w:val="79A1DEAA"/>
    <w:multiLevelType w:val="hybridMultilevel"/>
    <w:lvl w:ilvl="0">
      <w:lvlJc w:val="left"/>
      <w:lvlText w:val="(%1)"/>
      <w:numFmt w:val="decimal"/>
      <w:start w:val="1"/>
    </w:lvl>
  </w:abstractNum>
  <w:abstractNum w:abstractNumId="32">
    <w:nsid w:val="75C6C33A"/>
    <w:multiLevelType w:val="hybridMultilevel"/>
    <w:lvl w:ilvl="0">
      <w:lvlJc w:val="left"/>
      <w:lvlText w:val="•"/>
      <w:numFmt w:val="bullet"/>
      <w:start w:val="1"/>
    </w:lvl>
  </w:abstractNum>
  <w:abstractNum w:abstractNumId="33">
    <w:nsid w:val="12E685FB"/>
    <w:multiLevelType w:val="hybridMultilevel"/>
    <w:lvl w:ilvl="0">
      <w:lvlJc w:val="left"/>
      <w:lvlText w:val="•"/>
      <w:numFmt w:val="bullet"/>
      <w:start w:val="1"/>
    </w:lvl>
  </w:abstractNum>
  <w:abstractNum w:abstractNumId="34">
    <w:nsid w:val="70C6A529"/>
    <w:multiLevelType w:val="hybridMultilevel"/>
    <w:lvl w:ilvl="0">
      <w:lvlJc w:val="left"/>
      <w:lvlText w:val="(%1)"/>
      <w:numFmt w:val="decimal"/>
      <w:start w:val="1"/>
    </w:lvl>
  </w:abstractNum>
  <w:abstractNum w:abstractNumId="35">
    <w:nsid w:val="520EEDD1"/>
    <w:multiLevelType w:val="hybridMultilevel"/>
    <w:lvl w:ilvl="0">
      <w:lvlJc w:val="left"/>
      <w:lvlText w:val="(%1)"/>
      <w:numFmt w:val="decimal"/>
      <w:start w:val="1"/>
    </w:lvl>
  </w:abstractNum>
  <w:abstractNum w:abstractNumId="36">
    <w:nsid w:val="374A3FE6"/>
    <w:multiLevelType w:val="hybridMultilevel"/>
    <w:lvl w:ilvl="0">
      <w:lvlJc w:val="left"/>
      <w:lvlText w:val="•"/>
      <w:numFmt w:val="bullet"/>
      <w:start w:val="1"/>
    </w:lvl>
  </w:abstractNum>
  <w:abstractNum w:abstractNumId="37">
    <w:nsid w:val="4F4EF005"/>
    <w:multiLevelType w:val="hybridMultilevel"/>
    <w:lvl w:ilvl="0">
      <w:lvlJc w:val="left"/>
      <w:lvlText w:val="(%1)"/>
      <w:numFmt w:val="decimal"/>
      <w:start w:val="1"/>
    </w:lvl>
  </w:abstractNum>
  <w:abstractNum w:abstractNumId="38">
    <w:nsid w:val="23F9C13C"/>
    <w:multiLevelType w:val="hybridMultilevel"/>
    <w:lvl w:ilvl="0">
      <w:lvlJc w:val="left"/>
      <w:lvlText w:val="•"/>
      <w:numFmt w:val="bullet"/>
      <w:start w:val="1"/>
    </w:lvl>
  </w:abstractNum>
  <w:abstractNum w:abstractNumId="39">
    <w:nsid w:val="649BB77C"/>
    <w:multiLevelType w:val="hybridMultilevel"/>
    <w:lvl w:ilvl="0">
      <w:lvlJc w:val="left"/>
      <w:lvlText w:val="•"/>
      <w:numFmt w:val="bullet"/>
      <w:start w:val="1"/>
    </w:lvl>
  </w:abstractNum>
  <w:abstractNum w:abstractNumId="40">
    <w:nsid w:val="275AC794"/>
    <w:multiLevelType w:val="hybridMultilevel"/>
    <w:lvl w:ilvl="0">
      <w:lvlJc w:val="left"/>
      <w:lvlText w:val="•"/>
      <w:numFmt w:val="bullet"/>
      <w:start w:val="1"/>
    </w:lvl>
  </w:abstractNum>
  <w:abstractNum w:abstractNumId="41">
    <w:nsid w:val="39386575"/>
    <w:multiLevelType w:val="hybridMultilevel"/>
    <w:lvl w:ilvl="0">
      <w:lvlJc w:val="left"/>
      <w:lvlText w:val="•"/>
      <w:numFmt w:val="bullet"/>
      <w:start w:val="1"/>
    </w:lvl>
  </w:abstractNum>
  <w:abstractNum w:abstractNumId="42">
    <w:nsid w:val="1CF10FD8"/>
    <w:multiLevelType w:val="hybridMultilevel"/>
    <w:lvl w:ilvl="0">
      <w:lvlJc w:val="left"/>
      <w:lvlText w:val="•"/>
      <w:numFmt w:val="bullet"/>
      <w:start w:val="1"/>
    </w:lvl>
  </w:abstractNum>
  <w:abstractNum w:abstractNumId="43">
    <w:nsid w:val="180115BE"/>
    <w:multiLevelType w:val="hybridMultilevel"/>
    <w:lvl w:ilvl="0">
      <w:lvlJc w:val="left"/>
      <w:lvlText w:val="%1."/>
      <w:numFmt w:val="lowerLetter"/>
      <w:start w:val="1"/>
    </w:lvl>
  </w:abstractNum>
  <w:abstractNum w:abstractNumId="44">
    <w:nsid w:val="235BA861"/>
    <w:multiLevelType w:val="hybridMultilevel"/>
    <w:lvl w:ilvl="0">
      <w:lvlJc w:val="left"/>
      <w:lvlText w:val="%1."/>
      <w:numFmt w:val="lowerLetter"/>
      <w:start w:val="2"/>
    </w:lvl>
  </w:abstractNum>
  <w:abstractNum w:abstractNumId="45">
    <w:nsid w:val="47398C89"/>
    <w:multiLevelType w:val="hybridMultilevel"/>
    <w:lvl w:ilvl="0">
      <w:lvlJc w:val="left"/>
      <w:lvlText w:val="•"/>
      <w:numFmt w:val="bullet"/>
      <w:start w:val="1"/>
    </w:lvl>
  </w:abstractNum>
  <w:abstractNum w:abstractNumId="46">
    <w:nsid w:val="354FE9F9"/>
    <w:multiLevelType w:val="hybridMultilevel"/>
    <w:lvl w:ilvl="0">
      <w:lvlJc w:val="left"/>
      <w:lvlText w:val="•"/>
      <w:numFmt w:val="bullet"/>
      <w:start w:val="1"/>
    </w:lvl>
  </w:abstractNum>
  <w:abstractNum w:abstractNumId="47">
    <w:nsid w:val="15B5AF5C"/>
    <w:multiLevelType w:val="hybridMultilevel"/>
    <w:lvl w:ilvl="0">
      <w:lvlJc w:val="left"/>
      <w:lvlText w:val="•"/>
      <w:numFmt w:val="bullet"/>
      <w:start w:val="1"/>
    </w:lvl>
  </w:abstractNum>
  <w:abstractNum w:abstractNumId="48">
    <w:nsid w:val="741226BB"/>
    <w:multiLevelType w:val="hybridMultilevel"/>
    <w:lvl w:ilvl="0">
      <w:lvlJc w:val="left"/>
      <w:lvlText w:val="•"/>
      <w:numFmt w:val="bullet"/>
      <w:start w:val="1"/>
    </w:lvl>
  </w:abstractNum>
  <w:abstractNum w:abstractNumId="49">
    <w:nsid w:val="D34B6A8"/>
    <w:multiLevelType w:val="hybridMultilevel"/>
    <w:lvl w:ilvl="0">
      <w:lvlJc w:val="left"/>
      <w:lvlText w:val="(%1)"/>
      <w:numFmt w:val="lowerLetter"/>
      <w:start w:val="1"/>
    </w:lvl>
    <w:lvl w:ilvl="1">
      <w:lvlJc w:val="left"/>
      <w:lvlText w:val="\ldblquote"/>
      <w:numFmt w:val="bullet"/>
      <w:start w:val="1"/>
    </w:lvl>
  </w:abstractNum>
  <w:abstractNum w:abstractNumId="50">
    <w:nsid w:val="10233C99"/>
    <w:multiLevelType w:val="hybridMultilevel"/>
    <w:lvl w:ilvl="0">
      <w:lvlJc w:val="left"/>
      <w:lvlText w:val="(%1)"/>
      <w:numFmt w:val="lowerLetter"/>
      <w:start w:val="1"/>
    </w:lvl>
  </w:abstractNum>
  <w:abstractNum w:abstractNumId="51">
    <w:nsid w:val="3F6AB60F"/>
    <w:multiLevelType w:val="hybridMultilevel"/>
    <w:lvl w:ilvl="0">
      <w:lvlJc w:val="left"/>
      <w:lvlText w:val="%1."/>
      <w:numFmt w:val="decimal"/>
      <w:start w:val="1"/>
    </w:lvl>
    <w:lvl w:ilvl="1">
      <w:lvlJc w:val="left"/>
      <w:lvlText w:val="(%2)"/>
      <w:numFmt w:val="lowerLetter"/>
      <w:start w:val="1"/>
    </w:lvl>
  </w:abstractNum>
  <w:abstractNum w:abstractNumId="52">
    <w:nsid w:val="61574095"/>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53">
    <w:nsid w:val="7E0C57B1"/>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4"/>
    </w:lvl>
  </w:abstractNum>
  <w:abstractNum w:abstractNumId="54">
    <w:nsid w:val="77AE35EB"/>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5"/>
    </w:lvl>
  </w:abstractNum>
  <w:abstractNum w:abstractNumId="55">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6">
    <w:nsid w:val="310C50B3"/>
    <w:multiLevelType w:val="hybridMultilevel"/>
    <w:lvl w:ilvl="0">
      <w:lvlJc w:val="left"/>
      <w:lvlText w:val="%1"/>
      <w:numFmt w:val="decimal"/>
      <w:start w:val="1"/>
    </w:lvl>
    <w:lvl w:ilvl="1">
      <w:lvlJc w:val="left"/>
      <w:lvlText w:val="(%2)"/>
      <w:numFmt w:val="lowerLetter"/>
      <w:start w:val="2"/>
    </w:lvl>
  </w:abstractNum>
  <w:abstractNum w:abstractNumId="57">
    <w:nsid w:val="5FF87E05"/>
    <w:multiLevelType w:val="hybridMultilevel"/>
    <w:lvl w:ilvl="0">
      <w:lvlJc w:val="left"/>
      <w:lvlText w:val="%1."/>
      <w:numFmt w:val="decimal"/>
      <w:start w:val="8"/>
    </w:lvl>
    <w:lvl w:ilvl="1">
      <w:lvlJc w:val="left"/>
      <w:lvlText w:val="%2"/>
      <w:numFmt w:val="lowerLetter"/>
      <w:start w:val="1"/>
    </w:lvl>
  </w:abstractNum>
  <w:abstractNum w:abstractNumId="58">
    <w:nsid w:val="2F305DEF"/>
    <w:multiLevelType w:val="hybridMultilevel"/>
    <w:lvl w:ilvl="0">
      <w:lvlJc w:val="left"/>
      <w:lvlText w:val="%1"/>
      <w:numFmt w:val="lowerLetter"/>
      <w:start w:val="1"/>
    </w:lvl>
    <w:lvl w:ilvl="1">
      <w:lvlJc w:val="left"/>
      <w:lvlText w:val="%2."/>
      <w:numFmt w:val="decimal"/>
      <w:start w:val="14"/>
    </w:lvl>
  </w:abstractNum>
  <w:abstractNum w:abstractNumId="59">
    <w:nsid w:val="25A70BF7"/>
    <w:multiLevelType w:val="hybridMultilevel"/>
    <w:lvl w:ilvl="0">
      <w:lvlJc w:val="left"/>
      <w:lvlText w:val="(%1)"/>
      <w:numFmt w:val="lowerLetter"/>
      <w:start w:val="2"/>
    </w:lvl>
    <w:lvl w:ilvl="1">
      <w:lvlJc w:val="left"/>
      <w:lvlText w:val="%2."/>
      <w:numFmt w:val="decimal"/>
      <w:start w:val="17"/>
    </w:lvl>
  </w:abstractNum>
  <w:abstractNum w:abstractNumId="60">
    <w:nsid w:val="1DBABF00"/>
    <w:multiLevelType w:val="hybridMultilevel"/>
    <w:lvl w:ilvl="0">
      <w:lvlJc w:val="left"/>
      <w:lvlText w:val="%1."/>
      <w:numFmt w:val="decimal"/>
      <w:start w:val="22"/>
    </w:lvl>
    <w:lvl w:ilvl="1">
      <w:lvlJc w:val="left"/>
      <w:lvlText w:val="*"/>
      <w:numFmt w:val="bullet"/>
      <w:start w:val="1"/>
    </w:lvl>
  </w:abstractNum>
  <w:abstractNum w:abstractNumId="61">
    <w:nsid w:val="4AD084E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2">
    <w:nsid w:val="1F48EAA1"/>
    <w:multiLevelType w:val="hybridMultilevel"/>
    <w:lvl w:ilvl="0">
      <w:lvlJc w:val="left"/>
      <w:lvlText w:val="%1"/>
      <w:numFmt w:val="decimal"/>
      <w:start w:val="1"/>
    </w:lvl>
    <w:lvl w:ilvl="1">
      <w:lvlJc w:val="left"/>
      <w:lvlText w:val="%2."/>
      <w:numFmt w:val="lowerLetter"/>
      <w:start w:val="8"/>
    </w:lvl>
  </w:abstractNum>
  <w:abstractNum w:abstractNumId="63">
    <w:nsid w:val="1381823A"/>
    <w:multiLevelType w:val="hybridMultilevel"/>
    <w:lvl w:ilvl="0">
      <w:lvlJc w:val="left"/>
      <w:lvlText w:val="%1."/>
      <w:numFmt w:val="decimal"/>
      <w:start w:val="3"/>
    </w:lvl>
    <w:lvl w:ilvl="1">
      <w:lvlJc w:val="left"/>
      <w:lvlText w:val="%2"/>
      <w:numFmt w:val="lowerLetter"/>
      <w:start w:val="1"/>
    </w:lvl>
  </w:abstractNum>
  <w:abstractNum w:abstractNumId="64">
    <w:nsid w:val="5DB70AE5"/>
    <w:multiLevelType w:val="hybridMultilevel"/>
    <w:lvl w:ilvl="0">
      <w:lvlJc w:val="left"/>
      <w:lvlText w:val="%1"/>
      <w:numFmt w:val="upperLetter"/>
      <w:start w:val="1"/>
    </w:lvl>
    <w:lvl w:ilvl="1">
      <w:lvlJc w:val="left"/>
      <w:lvlText w:val="%2."/>
      <w:numFmt w:val="upperLetter"/>
      <w:start w:val="1"/>
    </w:lvl>
  </w:abstractNum>
  <w:abstractNum w:abstractNumId="65">
    <w:nsid w:val="100F8FCA"/>
    <w:multiLevelType w:val="hybridMultilevel"/>
    <w:lvl w:ilvl="0">
      <w:lvlJc w:val="left"/>
      <w:lvlText w:val="%1."/>
      <w:numFmt w:val="upperLetter"/>
      <w:start w:val="2"/>
    </w:lvl>
    <w:lvl w:ilvl="1">
      <w:lvlJc w:val="left"/>
      <w:lvlText w:val="%2."/>
      <w:numFmt w:val="upperLetter"/>
      <w:start w:val="3"/>
    </w:lvl>
  </w:abstractNum>
  <w:abstractNum w:abstractNumId="66">
    <w:nsid w:val="6590700B"/>
    <w:multiLevelType w:val="hybridMultilevel"/>
    <w:lvl w:ilvl="0">
      <w:lvlJc w:val="left"/>
      <w:lvlText w:val="%1."/>
      <w:numFmt w:val="upperLetter"/>
      <w:start w:val="1"/>
    </w:lvl>
  </w:abstractNum>
  <w:abstractNum w:abstractNumId="67">
    <w:nsid w:val="15014ACB"/>
    <w:multiLevelType w:val="hybridMultilevel"/>
    <w:lvl w:ilvl="0">
      <w:lvlJc w:val="left"/>
      <w:lvlText w:val="%1."/>
      <w:numFmt w:val="decimal"/>
      <w:start w:val="1"/>
    </w:lvl>
    <w:lvl w:ilvl="1">
      <w:lvlJc w:val="left"/>
      <w:lvlText w:val="%2)"/>
      <w:numFmt w:val="lowerLetter"/>
      <w:start w:val="1"/>
    </w:lvl>
  </w:abstractNum>
  <w:abstractNum w:abstractNumId="68">
    <w:nsid w:val="5F5E7FD0"/>
    <w:multiLevelType w:val="hybridMultilevel"/>
    <w:lvl w:ilvl="0">
      <w:lvlJc w:val="left"/>
      <w:lvlText w:val="%1."/>
      <w:numFmt w:val="decimal"/>
      <w:start w:val="1"/>
    </w:lvl>
    <w:lvl w:ilvl="1">
      <w:lvlJc w:val="left"/>
      <w:lvlText w:val="%2)"/>
      <w:numFmt w:val="lowerLetter"/>
      <w:start w:val="1"/>
    </w:lvl>
  </w:abstractNum>
  <w:abstractNum w:abstractNumId="69">
    <w:nsid w:val="98A3148"/>
    <w:multiLevelType w:val="hybridMultilevel"/>
    <w:lvl w:ilvl="0">
      <w:lvlJc w:val="left"/>
      <w:lvlText w:val="(%1)"/>
      <w:numFmt w:val="decimal"/>
      <w:start w:val="1"/>
    </w:lvl>
  </w:abstractNum>
  <w:abstractNum w:abstractNumId="70">
    <w:nsid w:val="799D02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10" Type="http://schemas.openxmlformats.org/officeDocument/2006/relationships/hyperlink" Target="http://www.sec.gov/Archives/edgar/data/16732/000119312515097806/d801200dex41.htm" TargetMode="External"/><Relationship Id="rId11" Type="http://schemas.openxmlformats.org/officeDocument/2006/relationships/hyperlink" Target="http://www.sec.gov/Archives/edgar/data/16732/000095015918000106/ex4-2_1.htm" TargetMode="External"/><Relationship Id="rId12" Type="http://schemas.openxmlformats.org/officeDocument/2006/relationships/hyperlink" Target="http://www.sec.gov/Archives/edgar/data/16732/000095015918000106/ex4-2_2.htm" TargetMode="External"/><Relationship Id="rId13" Type="http://schemas.openxmlformats.org/officeDocument/2006/relationships/hyperlink" Target="http://www.sec.gov/Archives/edgar/data/16732/000095015918000106/ex4-2_3.htm" TargetMode="External"/><Relationship Id="rId14" Type="http://schemas.openxmlformats.org/officeDocument/2006/relationships/hyperlink" Target="http://www.sec.gov/Archives/edgar/data/16732/000095015918000106/ex4-2_4.htm" TargetMode="External"/><Relationship Id="rId15" Type="http://schemas.openxmlformats.org/officeDocument/2006/relationships/hyperlink" Target="http://www.sec.gov/Archives/edgar/data/16732/000095015918000106/ex4-2_5.htm" TargetMode="External"/><Relationship Id="rId16" Type="http://schemas.openxmlformats.org/officeDocument/2006/relationships/hyperlink" Target="http://www.sec.gov/Archives/edgar/data/16732/000095015918000106/ex4-2_6.htm" TargetMode="External"/><Relationship Id="rId17" Type="http://schemas.openxmlformats.org/officeDocument/2006/relationships/hyperlink" Target="http://www.sec.gov/Archives/edgar/data/16732/000095015918000106/ex4-2_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2019-12-28T21:43:36Z</dcterms:created>
  <dcterms:modified xsi:type="dcterms:W3CDTF">2019-12-28T21:43:36Z</dcterms:modified>
</cp:coreProperties>
</file>