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350520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684" w:right="239" w:bottom="1440" w:gutter="0" w:footer="0" w:header="0"/>
        </w:sectPr>
      </w:pPr>
    </w:p>
    <w:p>
      <w:pPr>
        <w:spacing w:after="0" w:line="137" w:lineRule="exact"/>
        <w:rPr>
          <w:sz w:val="24"/>
          <w:szCs w:val="24"/>
          <w:color w:val="auto"/>
        </w:rPr>
      </w:pPr>
    </w:p>
    <w:p>
      <w:pPr>
        <w:jc w:val="center"/>
        <w:ind w:right="252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October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7320" w:space="720"/>
            <w:col w:w="3380"/>
          </w:cols>
          <w:pgMar w:left="240" w:top="684"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684"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684"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60" w:space="720"/>
            <w:col w:w="4140"/>
          </w:cols>
          <w:pgMar w:left="240" w:top="68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684" w:right="23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4"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684"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684"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84" w:right="239" w:bottom="1440" w:gutter="0" w:footer="0" w:header="0"/>
          <w:type w:val="continuous"/>
        </w:sectPr>
      </w:pPr>
    </w:p>
    <w:p>
      <w:pPr>
        <w:spacing w:after="0" w:line="13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380"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There were 300,606,995 shares of capital stock outstanding as of November 30, 2017.</w:t>
      </w:r>
    </w:p>
    <w:p>
      <w:pPr>
        <w:sectPr>
          <w:pgSz w:w="11900" w:h="16838" w:orient="portrait"/>
          <w:cols w:equalWidth="0" w:num="1">
            <w:col w:w="11420"/>
          </w:cols>
          <w:pgMar w:left="240" w:top="6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7520" w:type="dxa"/>
            <w:vAlign w:val="bottom"/>
            <w:gridSpan w:val="3"/>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70"/>
        </w:trPr>
        <w:tc>
          <w:tcPr>
            <w:tcW w:w="1220" w:type="dxa"/>
            <w:vAlign w:val="bottom"/>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29,</w:t>
            </w:r>
          </w:p>
        </w:tc>
        <w:tc>
          <w:tcPr>
            <w:tcW w:w="160" w:type="dxa"/>
            <w:vAlign w:val="bottom"/>
          </w:tcPr>
          <w:p>
            <w:pPr>
              <w:spacing w:after="0"/>
              <w:rPr>
                <w:sz w:val="13"/>
                <w:szCs w:val="13"/>
                <w:color w:val="auto"/>
              </w:rPr>
            </w:pPr>
          </w:p>
        </w:tc>
        <w:tc>
          <w:tcPr>
            <w:tcW w:w="98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6"/>
              </w:rPr>
              <w:t>October 30,</w:t>
            </w:r>
          </w:p>
        </w:tc>
      </w:tr>
      <w:tr>
        <w:trPr>
          <w:trHeight w:val="192"/>
        </w:trPr>
        <w:tc>
          <w:tcPr>
            <w:tcW w:w="9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2,202</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412</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137</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0"/>
        </w:trPr>
        <w:tc>
          <w:tcPr>
            <w:tcW w:w="9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r>
      <w:tr>
        <w:trPr>
          <w:trHeight w:val="20"/>
        </w:trPr>
        <w:tc>
          <w:tcPr>
            <w:tcW w:w="9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67"/>
        </w:trPr>
        <w:tc>
          <w:tcPr>
            <w:tcW w:w="90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r>
      <w:tr>
        <w:trPr>
          <w:trHeight w:val="20"/>
        </w:trPr>
        <w:tc>
          <w:tcPr>
            <w:tcW w:w="9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0"/>
        </w:trPr>
        <w:tc>
          <w:tcPr>
            <w:tcW w:w="9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310</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6"/>
              </w:rPr>
              <w:t>October 29, 2017</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October 30, 2016</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After-tax</w:t>
            </w:r>
          </w:p>
        </w:tc>
        <w:tc>
          <w:tcPr>
            <w:tcW w:w="140" w:type="dxa"/>
            <w:vAlign w:val="bottom"/>
          </w:tcPr>
          <w:p>
            <w:pPr>
              <w:spacing w:after="0"/>
              <w:rPr>
                <w:sz w:val="13"/>
                <w:szCs w:val="13"/>
                <w:color w:val="auto"/>
              </w:rPr>
            </w:pPr>
          </w:p>
        </w:tc>
        <w:tc>
          <w:tcPr>
            <w:tcW w:w="6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(32)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period</w:t>
            </w:r>
          </w:p>
        </w:tc>
        <w:tc>
          <w:tcPr>
            <w:tcW w:w="16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29,</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30,</w:t>
            </w:r>
          </w:p>
        </w:tc>
      </w:tr>
      <w:tr>
        <w:trPr>
          <w:trHeight w:val="192"/>
        </w:trPr>
        <w:tc>
          <w:tcPr>
            <w:tcW w:w="7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163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766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1,001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902</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1,996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1,900</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2,417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2,086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2,115</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1,112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 ($56 as of 2018 and $51 as of 2017 attributable to variable interest entity)</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135</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7,746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7,726</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1,192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713</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666</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518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2,583</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2,269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531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674</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6,057</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6,081</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2,555</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2,385</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(85)</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1,681</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1,689</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7,746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7,726</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7420" w:type="dxa"/>
            <w:vAlign w:val="bottom"/>
          </w:tcPr>
          <w:p>
            <w:pPr>
              <w:ind w:left="566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r>
      <w:tr>
        <w:trPr>
          <w:trHeight w:val="152"/>
        </w:trPr>
        <w:tc>
          <w:tcPr>
            <w:tcW w:w="81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30,</w:t>
            </w:r>
          </w:p>
        </w:tc>
        <w:tc>
          <w:tcPr>
            <w:tcW w:w="420" w:type="dxa"/>
            <w:vAlign w:val="bottom"/>
          </w:tcPr>
          <w:p>
            <w:pPr>
              <w:spacing w:after="0"/>
              <w:rPr>
                <w:sz w:val="13"/>
                <w:szCs w:val="13"/>
                <w:color w:val="auto"/>
              </w:rPr>
            </w:pPr>
          </w:p>
        </w:tc>
      </w:tr>
      <w:tr>
        <w:trPr>
          <w:trHeight w:val="192"/>
        </w:trPr>
        <w:tc>
          <w:tcPr>
            <w:tcW w:w="8120" w:type="dxa"/>
            <w:vAlign w:val="bottom"/>
            <w:tcBorders>
              <w:bottom w:val="single" w:sz="8" w:color="BFE4FF"/>
            </w:tcBorders>
          </w:tcPr>
          <w:p>
            <w:pPr>
              <w:spacing w:after="0"/>
              <w:rPr>
                <w:sz w:val="16"/>
                <w:szCs w:val="16"/>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r>
      <w:tr>
        <w:trPr>
          <w:trHeight w:val="210"/>
        </w:trPr>
        <w:tc>
          <w:tcPr>
            <w:tcW w:w="8120" w:type="dxa"/>
            <w:vAlign w:val="bottom"/>
            <w:shd w:val="clear" w:color="auto" w:fill="BFE4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16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r>
      <w:tr>
        <w:trPr>
          <w:trHeight w:val="60"/>
        </w:trPr>
        <w:tc>
          <w:tcPr>
            <w:tcW w:w="8120" w:type="dxa"/>
            <w:vAlign w:val="bottom"/>
            <w:shd w:val="clear" w:color="auto" w:fill="BFE4FF"/>
          </w:tcPr>
          <w:p>
            <w:pPr>
              <w:spacing w:after="0"/>
              <w:rPr>
                <w:sz w:val="5"/>
                <w:szCs w:val="5"/>
                <w:color w:val="auto"/>
              </w:rPr>
            </w:pPr>
          </w:p>
        </w:tc>
        <w:tc>
          <w:tcPr>
            <w:tcW w:w="1160" w:type="dxa"/>
            <w:vAlign w:val="bottom"/>
            <w:shd w:val="clear" w:color="auto" w:fill="BFE4FF"/>
          </w:tcPr>
          <w:p>
            <w:pPr>
              <w:spacing w:after="0"/>
              <w:rPr>
                <w:sz w:val="5"/>
                <w:szCs w:val="5"/>
                <w:color w:val="auto"/>
              </w:rPr>
            </w:pPr>
          </w:p>
        </w:tc>
        <w:tc>
          <w:tcPr>
            <w:tcW w:w="460" w:type="dxa"/>
            <w:vAlign w:val="bottom"/>
            <w:shd w:val="clear" w:color="auto" w:fill="BFE4FF"/>
          </w:tcPr>
          <w:p>
            <w:pPr>
              <w:spacing w:after="0"/>
              <w:rPr>
                <w:sz w:val="5"/>
                <w:szCs w:val="5"/>
                <w:color w:val="auto"/>
              </w:rPr>
            </w:pPr>
          </w:p>
        </w:tc>
        <w:tc>
          <w:tcPr>
            <w:tcW w:w="100" w:type="dxa"/>
            <w:vAlign w:val="bottom"/>
            <w:shd w:val="clear" w:color="auto" w:fill="BFE4FF"/>
          </w:tcPr>
          <w:p>
            <w:pPr>
              <w:spacing w:after="0"/>
              <w:rPr>
                <w:sz w:val="5"/>
                <w:szCs w:val="5"/>
                <w:color w:val="auto"/>
              </w:rPr>
            </w:pPr>
          </w:p>
        </w:tc>
        <w:tc>
          <w:tcPr>
            <w:tcW w:w="1160" w:type="dxa"/>
            <w:vAlign w:val="bottom"/>
            <w:shd w:val="clear" w:color="auto" w:fill="BFE4FF"/>
          </w:tcPr>
          <w:p>
            <w:pPr>
              <w:spacing w:after="0"/>
              <w:rPr>
                <w:sz w:val="5"/>
                <w:szCs w:val="5"/>
                <w:color w:val="auto"/>
              </w:rPr>
            </w:pPr>
          </w:p>
        </w:tc>
        <w:tc>
          <w:tcPr>
            <w:tcW w:w="420" w:type="dxa"/>
            <w:vAlign w:val="bottom"/>
            <w:shd w:val="clear" w:color="auto" w:fill="BFE4FF"/>
          </w:tcPr>
          <w:p>
            <w:pPr>
              <w:spacing w:after="0"/>
              <w:rPr>
                <w:sz w:val="5"/>
                <w:szCs w:val="5"/>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160" w:type="dxa"/>
            <w:vAlign w:val="bottom"/>
          </w:tcPr>
          <w:p>
            <w:pPr>
              <w:jc w:val="right"/>
              <w:ind w:right="984"/>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275</w:t>
            </w:r>
          </w:p>
        </w:tc>
        <w:tc>
          <w:tcPr>
            <w:tcW w:w="100" w:type="dxa"/>
            <w:vAlign w:val="bottom"/>
          </w:tcPr>
          <w:p>
            <w:pPr>
              <w:spacing w:after="0"/>
              <w:rPr>
                <w:sz w:val="20"/>
                <w:szCs w:val="20"/>
                <w:color w:val="auto"/>
              </w:rPr>
            </w:pP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292</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16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Pension and postretirement benefit income</w:t>
            </w:r>
          </w:p>
        </w:tc>
        <w:tc>
          <w:tcPr>
            <w:tcW w:w="1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Depreciation and amortization</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82</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16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Other, net</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Changes in working capital</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Accounts receivable</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w w:val="96"/>
              </w:rPr>
              <w:t>(167)</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0"/>
              </w:rPr>
              <w:t>(218)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96"/>
              </w:rPr>
              <w:t>(105)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Prepaid assets</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16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Net payments of hedging activities</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116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188</w:t>
            </w:r>
          </w:p>
        </w:tc>
        <w:tc>
          <w:tcPr>
            <w:tcW w:w="1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221</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47"/>
        </w:trPr>
        <w:tc>
          <w:tcPr>
            <w:tcW w:w="8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Purchases of plant assets</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116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47"/>
        </w:trPr>
        <w:tc>
          <w:tcPr>
            <w:tcW w:w="8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Net short-term borrowings (repayments)</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Long-term repayments</w:t>
            </w:r>
          </w:p>
        </w:tc>
        <w:tc>
          <w:tcPr>
            <w:tcW w:w="1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Dividends paid</w:t>
            </w:r>
          </w:p>
        </w:tc>
        <w:tc>
          <w:tcPr>
            <w:tcW w:w="11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w w:val="96"/>
              </w:rPr>
              <w:t>(111)</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0"/>
              </w:rPr>
              <w:t>(100)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1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(112)</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5"/>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116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(20)</w:t>
            </w:r>
          </w:p>
        </w:tc>
      </w:tr>
      <w:tr>
        <w:trPr>
          <w:trHeight w:val="231"/>
        </w:trPr>
        <w:tc>
          <w:tcPr>
            <w:tcW w:w="812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(279)</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(173)</w:t>
            </w:r>
          </w:p>
        </w:tc>
      </w:tr>
      <w:tr>
        <w:trPr>
          <w:trHeight w:val="33"/>
        </w:trPr>
        <w:tc>
          <w:tcPr>
            <w:tcW w:w="8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116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(156)</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5"/>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116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319</w:t>
            </w:r>
          </w:p>
        </w:tc>
        <w:tc>
          <w:tcPr>
            <w:tcW w:w="1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296</w:t>
            </w:r>
          </w:p>
        </w:tc>
      </w:tr>
      <w:tr>
        <w:trPr>
          <w:trHeight w:val="231"/>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1160" w:type="dxa"/>
            <w:vAlign w:val="bottom"/>
            <w:tcBorders>
              <w:top w:val="single" w:sz="8" w:color="auto"/>
            </w:tcBorders>
          </w:tcPr>
          <w:p>
            <w:pPr>
              <w:jc w:val="right"/>
              <w:ind w:right="984"/>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163</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83"/>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w:t>
            </w:r>
          </w:p>
        </w:tc>
      </w:tr>
      <w:tr>
        <w:trPr>
          <w:trHeight w:val="33"/>
        </w:trPr>
        <w:tc>
          <w:tcPr>
            <w:tcW w:w="8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8"/>
        </w:trPr>
        <w:tc>
          <w:tcPr>
            <w:tcW w:w="81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40" w:type="dxa"/>
            <w:vAlign w:val="bottom"/>
            <w:vMerge w:val="restart"/>
          </w:tcPr>
          <w:p>
            <w:pPr>
              <w:jc w:val="right"/>
              <w:ind w:right="10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8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292</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($.35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October 30,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30,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275</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275</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($.35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October 29,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1,689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30, 2017, except as described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w:t>
      </w:r>
    </w:p>
    <w:p>
      <w:pPr>
        <w:spacing w:after="0" w:line="1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performing a diagnostic review of our arrangements with customers across our significant businesses, including our practices of offering rebates, refunds, discounts and other price allowances, and trade and consumer promotion programs. We are evaluating our methods of estimating the amount and timing of these various forms of variable consideration. We are continuing to evaluate the impact that the new guidance will have on our consolidated financial statements, as well as which transition method we will use. We will adopt the new guidance in 2019.</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We are currently evaluating the impact that the new guidance will have on our consolidated financial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We will prospectively apply the guidance to applicable transactions.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2017, the FASB issued guidance that changes the presentation of net periodic pension cost and net periodic postretirement benefit cost. Under the revised guidance, the service cost component of benefit cost is classified in the same line item or items as other compensation costs arising from services rendered by the pertinent employees during the period. The other components of net benefit cost (such as interest expense, return on assets, amortization of prior service credit, actuarial gains and losses, settlements and curtailments) are required to be presented in the income statement separately from the service cost component. The guidance also allows only the service cost component to be eligible for capitalization when applicable (for example, as a cost of internally manufactured inventory). The guidance should be applied retrospectively for the presentation of the service cost component and the other components of benefit cost in the income statement, and applied prospectively on and after the effective date for the capitalization of the service cost component. The guidance is effective for fiscal years beginning after December 15, 2017, and interim periods within those years. Early adoption is permitted. We elected to early adopt the guidance in the first quarter of 2018. The retrospective impact of presenting net periodic benefit cost in accordance with the new guidance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9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Increase / (decrease) in expense</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192"/>
        </w:trPr>
        <w:tc>
          <w:tcPr>
            <w:tcW w:w="9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18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9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6, 2017, we entered into an agreement to acquire Pacific Foods of Oregon, Inc. (Pacific Foods) for $700, subject to customary purchase price adjustments related to the amount of Pacific Foods' cash, debt, working capital and transaction expenses. The closing of the transaction is subject to customary closing conditions and termination rights. The agreement provides that if we fail to close the transaction when all conditions to closing have been satisfied or if we are in breach of the agreement, we will be required to pay Pacific Foods a $50 termination fee. On August 21, 2017, the estate of a former Pacific Foods shareholder, Edward C. Lynch, filed a lawsuit against Pacific Foods and certain of its directors, among others, seeking in excess of $250 in damages. On September 27, 2017, we notified Pacific Foods that it had 60 days under the terms of the agreement to resolve the issues arising from the suit in order for the transaction to close. Pacific Foods has resolved the issues arising from the suit, and we expect the acquisition to close in December 2017.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40" w:right="239" w:bottom="1440" w:gutter="0" w:footer="0" w:header="0"/>
        </w:sectPr>
      </w:pPr>
    </w:p>
    <w:bookmarkStart w:id="9" w:name="page10"/>
    <w:bookmarkEnd w:id="9"/>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October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Balance at October 29,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8"/>
          <w:szCs w:val="18"/>
          <w:color w:val="auto"/>
        </w:rPr>
        <w:t>Included a tax expense of $6 as of October 29, 2017, July 30, 2017, October 30, 2016, and July 31, 2016.</w:t>
      </w:r>
    </w:p>
    <w:p>
      <w:pPr>
        <w:ind w:left="340" w:hanging="332"/>
        <w:spacing w:after="0" w:line="203"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8"/>
          <w:szCs w:val="18"/>
          <w:color w:val="auto"/>
        </w:rPr>
        <w:t>Included a tax benefit of $10 as of October 29, 2017, $12 as of July 30, 2017, $18 as of October 30, 2016, and $23 as of July 31, 2016.</w:t>
      </w:r>
    </w:p>
    <w:p>
      <w:pPr>
        <w:ind w:left="340" w:right="1300" w:hanging="332"/>
        <w:spacing w:after="0" w:line="319"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8"/>
          <w:szCs w:val="18"/>
          <w:color w:val="auto"/>
        </w:rPr>
        <w:t>Included a tax expense of $28 as of October 29, 2017, $30 as of July 30, 2017, $33 as of October 30, 2016, and $35 as of July 31, 2016.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120" w:type="dxa"/>
            <w:vAlign w:val="bottom"/>
            <w:vMerge w:val="restart"/>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October 29, 2017</w:t>
            </w:r>
          </w:p>
        </w:tc>
        <w:tc>
          <w:tcPr>
            <w:tcW w:w="10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October 30, 2016</w:t>
            </w:r>
          </w:p>
        </w:tc>
        <w:tc>
          <w:tcPr>
            <w:tcW w:w="100" w:type="dxa"/>
            <w:vAlign w:val="bottom"/>
          </w:tcPr>
          <w:p>
            <w:pPr>
              <w:spacing w:after="0"/>
              <w:rPr>
                <w:sz w:val="12"/>
                <w:szCs w:val="12"/>
                <w:color w:val="auto"/>
              </w:rPr>
            </w:pPr>
          </w:p>
        </w:tc>
        <w:tc>
          <w:tcPr>
            <w:tcW w:w="2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Forward starting interest rate swaps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6140" w:type="dxa"/>
            <w:vAlign w:val="bottom"/>
            <w:gridSpan w:val="2"/>
          </w:tcPr>
          <w:p>
            <w:pPr>
              <w:jc w:val="right"/>
              <w:ind w:right="140"/>
              <w:spacing w:after="0"/>
              <w:rPr>
                <w:sz w:val="20"/>
                <w:szCs w:val="20"/>
                <w:color w:val="auto"/>
              </w:rPr>
            </w:pPr>
            <w:r>
              <w:rPr>
                <w:rFonts w:ascii="Arial" w:cs="Arial" w:eastAsia="Arial" w:hAnsi="Arial"/>
                <w:sz w:val="18"/>
                <w:szCs w:val="18"/>
                <w:color w:val="auto"/>
              </w:rPr>
              <w:t>Total before tax</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1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Prior service credit</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14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jc w:val="right"/>
              <w:ind w:right="191"/>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0" w:name="page11"/>
    <w:bookmarkEnd w:id="10"/>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Net balance at July 30, 2017</w:t>
            </w:r>
            <w:r>
              <w:rPr>
                <w:rFonts w:ascii="Arial" w:cs="Arial" w:eastAsia="Arial" w:hAnsi="Arial"/>
                <w:sz w:val="25"/>
                <w:szCs w:val="25"/>
                <w:color w:val="auto"/>
                <w:vertAlign w:val="superscript"/>
              </w:rPr>
              <w:t>(1)</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Net balance at October 29, 2017</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2,086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ind w:left="340" w:hanging="332"/>
        <w:spacing w:after="0" w:line="187"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Campbell Fresh segment includes accumulated impairment charges of $297 as of October 29, 2017, and July 30, 2017.</w:t>
      </w:r>
    </w:p>
    <w:p>
      <w:pPr>
        <w:spacing w:after="0" w:line="83"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Intangible Assets</w:t>
      </w:r>
    </w:p>
    <w:p>
      <w:pPr>
        <w:spacing w:after="0" w:line="15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29,</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Amortization of intangible assets was $4 and $5 for the three-month periods ended October 29, 2017, and October 30, 2016, respectively. Amortization expense for the next 5 years is estimated to be $16 in 2018 and 2019, and $15 in 2020 through 2022. Asset useful lives range from 5 to 20 years.</w:t>
      </w:r>
    </w:p>
    <w:p>
      <w:pPr>
        <w:spacing w:after="0" w:line="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manage our businesses in three segments focused mainly on product categories. The segments are as follows:</w:t>
      </w:r>
    </w:p>
    <w:p>
      <w:pPr>
        <w:spacing w:after="0" w:line="171"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businesses in the U.S. and Canada.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gravies, pasta, beans and dinner sauces;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canned poultry;</w:t>
      </w:r>
      <w:r>
        <w:rPr>
          <w:rFonts w:ascii="Arial" w:cs="Arial" w:eastAsia="Arial" w:hAnsi="Arial"/>
          <w:sz w:val="18"/>
          <w:szCs w:val="18"/>
          <w:i w:val="1"/>
          <w:iCs w:val="1"/>
          <w:color w:val="auto"/>
        </w:rPr>
        <w:t xml:space="preserve"> Plum </w:t>
      </w:r>
      <w:r>
        <w:rPr>
          <w:rFonts w:ascii="Arial" w:cs="Arial" w:eastAsia="Arial" w:hAnsi="Arial"/>
          <w:sz w:val="18"/>
          <w:szCs w:val="18"/>
          <w:color w:val="auto"/>
        </w:rPr>
        <w:t>food and snacks;</w:t>
      </w:r>
      <w:r>
        <w:rPr>
          <w:rFonts w:ascii="Arial" w:cs="Arial" w:eastAsia="Arial" w:hAnsi="Arial"/>
          <w:sz w:val="18"/>
          <w:szCs w:val="18"/>
          <w:i w:val="1"/>
          <w:iCs w:val="1"/>
          <w:color w:val="auto"/>
        </w:rPr>
        <w:t xml:space="preserve"> V8 </w:t>
      </w:r>
      <w:r>
        <w:rPr>
          <w:rFonts w:ascii="Arial" w:cs="Arial" w:eastAsia="Arial" w:hAnsi="Arial"/>
          <w:sz w:val="18"/>
          <w:szCs w:val="18"/>
          <w:color w:val="auto"/>
        </w:rPr>
        <w:t>juices and beverages; and</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 beginning in 2018, the business in Latin America; and</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Prior to 2018, the business in Latin America was managed as part of the Americas Simple Meals and Beverages segment. Segment results have been adjusted retrospectively to reflect this change.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evaluate segment performance before interest, taxes and costs associated with restructuring activities. Unrealized gains</w:t>
      </w:r>
    </w:p>
    <w:p>
      <w:pPr>
        <w:sectPr>
          <w:pgSz w:w="11900" w:h="16838" w:orient="portrait"/>
          <w:cols w:equalWidth="0" w:num="1">
            <w:col w:w="11420"/>
          </w:cols>
          <w:pgMar w:left="240" w:top="131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10" w:right="239" w:bottom="1440" w:gutter="0" w:footer="0" w:header="0"/>
          <w:type w:val="continuous"/>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October 29,</w:t>
            </w:r>
          </w:p>
        </w:tc>
        <w:tc>
          <w:tcPr>
            <w:tcW w:w="160" w:type="dxa"/>
            <w:vAlign w:val="bottom"/>
          </w:tcPr>
          <w:p>
            <w:pPr>
              <w:spacing w:after="0"/>
              <w:rPr>
                <w:sz w:val="13"/>
                <w:szCs w:val="13"/>
                <w:color w:val="auto"/>
              </w:rPr>
            </w:pPr>
          </w:p>
        </w:tc>
        <w:tc>
          <w:tcPr>
            <w:tcW w:w="9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1,218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2,161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9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October 29,</w:t>
            </w:r>
          </w:p>
        </w:tc>
        <w:tc>
          <w:tcPr>
            <w:tcW w:w="160" w:type="dxa"/>
            <w:vAlign w:val="bottom"/>
          </w:tcPr>
          <w:p>
            <w:pPr>
              <w:spacing w:after="0"/>
              <w:rPr>
                <w:sz w:val="13"/>
                <w:szCs w:val="13"/>
                <w:color w:val="auto"/>
              </w:rPr>
            </w:pPr>
          </w:p>
        </w:tc>
        <w:tc>
          <w:tcPr>
            <w:tcW w:w="9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328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90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32"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unallocated items. Pension and postretirement benefit mark-to-market adjustments are included in Corporate. There were gains of $14 and losses of $20 in the three-month periods ended October 29, 2017, and October 30, 2016, respectively. Costs related to the implementation of our new organizational structure and cost savings initiatives were $17 and $8 in the three-month periods ended October 29, 2017, and October 30, 2016, respectively.</w:t>
      </w:r>
    </w:p>
    <w:p>
      <w:pPr>
        <w:ind w:left="340" w:hanging="332"/>
        <w:spacing w:after="0" w:line="225"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29,</w:t>
            </w:r>
          </w:p>
        </w:tc>
        <w:tc>
          <w:tcPr>
            <w:tcW w:w="180" w:type="dxa"/>
            <w:vAlign w:val="bottom"/>
          </w:tcPr>
          <w:p>
            <w:pPr>
              <w:spacing w:after="0"/>
              <w:rPr>
                <w:sz w:val="13"/>
                <w:szCs w:val="13"/>
                <w:color w:val="auto"/>
              </w:rPr>
            </w:pPr>
          </w:p>
        </w:tc>
        <w:tc>
          <w:tcPr>
            <w:tcW w:w="10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October 30,</w:t>
            </w:r>
          </w:p>
        </w:tc>
      </w:tr>
      <w:tr>
        <w:trPr>
          <w:trHeight w:val="192"/>
        </w:trPr>
        <w:tc>
          <w:tcPr>
            <w:tcW w:w="8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Soup</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807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863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429</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2,161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2,202</w:t>
            </w:r>
          </w:p>
        </w:tc>
      </w:tr>
      <w:tr>
        <w:trPr>
          <w:trHeight w:val="27"/>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4" w:right="239" w:bottom="1440" w:gutter="0" w:footer="0" w:header="0"/>
        </w:sectPr>
      </w:pPr>
    </w:p>
    <w:bookmarkStart w:id="12" w:name="page13"/>
    <w:bookmarkEnd w:id="12"/>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1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and Cost of products sold related to the implementation of the new organizational structure and costs savings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October 29, 2017</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30, 2016</w:t>
            </w:r>
          </w:p>
        </w:tc>
        <w:tc>
          <w:tcPr>
            <w:tcW w:w="180" w:type="dxa"/>
            <w:vAlign w:val="bottom"/>
          </w:tcPr>
          <w:p>
            <w:pPr>
              <w:spacing w:after="0"/>
              <w:rPr>
                <w:sz w:val="22"/>
                <w:szCs w:val="22"/>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30, 2017</w:t>
            </w:r>
          </w:p>
        </w:tc>
        <w:tc>
          <w:tcPr>
            <w:tcW w:w="16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31, 2016</w:t>
            </w:r>
          </w:p>
        </w:tc>
        <w:tc>
          <w:tcPr>
            <w:tcW w:w="140" w:type="dxa"/>
            <w:vAlign w:val="bottom"/>
          </w:tcPr>
          <w:p>
            <w:pPr>
              <w:spacing w:after="0"/>
              <w:rPr>
                <w:sz w:val="22"/>
                <w:szCs w:val="22"/>
                <w:color w:val="auto"/>
              </w:rPr>
            </w:pPr>
          </w:p>
        </w:tc>
        <w:tc>
          <w:tcPr>
            <w:tcW w:w="110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August 2, 2015</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Recognized as of</w:t>
            </w:r>
          </w:p>
        </w:tc>
      </w:tr>
      <w:tr>
        <w:trPr>
          <w:trHeight w:val="192"/>
        </w:trPr>
        <w:tc>
          <w:tcPr>
            <w:tcW w:w="9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October 29, 2017</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17</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283</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$380 to $420. We expect to incur substantially all of the costs through 2019. This estimate will be updated as costs for the expanded initiatives are developed.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$140 in severance pay and benefits; approximately $20 in asset impairment and accelerated depreciation; and approximately $220 to $260 in implementation costs and other related costs.We expect these pre-tax costs to be associated with our segments as follows: Americas Simple Meals and Beverages - approximately 30%; Global Biscuits and Snacks - approximately 38%; Campbell Fresh - approximately 4%; and Corporate - approximately 28%.</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 aggregate $380 to $420 of pre-tax costs identified to date, we expect approximately $350 to $390 will be cash expenditures. In addition, we expect to invest approximately $180 in capital expenditures through 2019 primarily related to the construction of a network of distribution centers for our U.S. thermal plants and insourcing of manufacturing for certain simple meal products, of which we invested approximately $22 as of October 29, 2017.</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10"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initiatives at October 29,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Severance Pay and</w:t>
            </w:r>
          </w:p>
        </w:tc>
        <w:tc>
          <w:tcPr>
            <w:tcW w:w="12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Implementation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Impairment/Accelerated</w:t>
            </w:r>
          </w:p>
        </w:tc>
        <w:tc>
          <w:tcPr>
            <w:tcW w:w="120" w:type="dxa"/>
            <w:vAlign w:val="bottom"/>
          </w:tcPr>
          <w:p>
            <w:pPr>
              <w:spacing w:after="0"/>
              <w:rPr>
                <w:sz w:val="12"/>
                <w:szCs w:val="12"/>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Total Charges</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880" w:type="dxa"/>
            <w:vAlign w:val="bottom"/>
          </w:tcPr>
          <w:p>
            <w:pPr>
              <w:ind w:left="380"/>
              <w:spacing w:after="0"/>
              <w:rPr>
                <w:sz w:val="20"/>
                <w:szCs w:val="20"/>
                <w:color w:val="auto"/>
              </w:rPr>
            </w:pPr>
            <w:r>
              <w:rPr>
                <w:rFonts w:ascii="Arial" w:cs="Arial" w:eastAsia="Arial" w:hAnsi="Arial"/>
                <w:sz w:val="14"/>
                <w:szCs w:val="14"/>
                <w:b w:val="1"/>
                <w:bCs w:val="1"/>
                <w:color w:val="auto"/>
                <w:w w:val="86"/>
              </w:rPr>
              <w:t>Benefits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(3)</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balance at July 30, 2017</w:t>
            </w:r>
            <w:r>
              <w:rPr>
                <w:rFonts w:ascii="Arial" w:cs="Arial" w:eastAsia="Arial" w:hAnsi="Arial"/>
                <w:sz w:val="25"/>
                <w:szCs w:val="25"/>
                <w:color w:val="auto"/>
                <w:vertAlign w:val="superscript"/>
              </w:rPr>
              <w:t>(1)</w:t>
            </w:r>
          </w:p>
        </w:tc>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60"/>
              <w:spacing w:after="0"/>
              <w:rPr>
                <w:sz w:val="20"/>
                <w:szCs w:val="20"/>
                <w:color w:val="auto"/>
              </w:rPr>
            </w:pPr>
            <w:r>
              <w:rPr>
                <w:rFonts w:ascii="Arial" w:cs="Arial" w:eastAsia="Arial" w:hAnsi="Arial"/>
                <w:sz w:val="18"/>
                <w:szCs w:val="18"/>
                <w:b w:val="1"/>
                <w:bCs w:val="1"/>
                <w:color w:val="auto"/>
              </w:rPr>
              <w:t>2018 charges</w:t>
            </w: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4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560" w:type="dxa"/>
            <w:vAlign w:val="bottom"/>
          </w:tcPr>
          <w:p>
            <w:pPr>
              <w:jc w:val="right"/>
              <w:ind w:right="8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2018 cash payments</w:t>
            </w: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Accrued balance at October 29, 2017</w:t>
            </w:r>
            <w:r>
              <w:rPr>
                <w:rFonts w:ascii="Arial" w:cs="Arial" w:eastAsia="Arial" w:hAnsi="Arial"/>
                <w:sz w:val="25"/>
                <w:szCs w:val="25"/>
                <w:b w:val="1"/>
                <w:bCs w:val="1"/>
                <w:color w:val="auto"/>
                <w:vertAlign w:val="superscript"/>
              </w:rPr>
              <w:t>(2)</w:t>
            </w:r>
          </w:p>
        </w:tc>
        <w:tc>
          <w:tcPr>
            <w:tcW w:w="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Includes $2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Includes $2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pacing w:after="0" w:line="6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October 29, 2017</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 ended October 29, 2017, excludes approximately 1 million stock options that would have been anti-dilutive. The earnings per share calculation for the three-month period ended October 30, 2016, excludes less than 1 million stock options that would have been antidilutive.</w:t>
      </w:r>
    </w:p>
    <w:p>
      <w:pPr>
        <w:spacing w:after="0" w:line="13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Taxes on Earnings</w:t>
      </w:r>
    </w:p>
    <w:p>
      <w:pPr>
        <w:spacing w:after="0" w:line="10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During the first quarter of 2018, we settled a state tax audit which resulted in the recognition of a $15 benefit that impacted the effective rate, and a $33 reduction in unrecognized tax benefits. The balance of unrecognized tax benefits as of October 29, 2017, was $32, of which $21 would impact the effective tax rate if recognized. The total amount of unrecognized tax benefits can change due to audit settlements, tax examination activities, statute expirations and the recognition and measurement criteria under accounting for uncertainty in income taxes.</w:t>
      </w:r>
    </w:p>
    <w:p>
      <w:pPr>
        <w:spacing w:after="0" w:line="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net benefit expense (income)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Postretirement</w:t>
            </w:r>
          </w:p>
        </w:tc>
      </w:tr>
      <w:tr>
        <w:trPr>
          <w:trHeight w:val="152"/>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29,</w:t>
            </w:r>
          </w:p>
        </w:tc>
        <w:tc>
          <w:tcPr>
            <w:tcW w:w="18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October 30,</w:t>
            </w: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29,</w:t>
            </w:r>
          </w:p>
        </w:tc>
        <w:tc>
          <w:tcPr>
            <w:tcW w:w="160" w:type="dxa"/>
            <w:vAlign w:val="bottom"/>
          </w:tcPr>
          <w:p>
            <w:pPr>
              <w:spacing w:after="0"/>
              <w:rPr>
                <w:sz w:val="13"/>
                <w:szCs w:val="13"/>
                <w:color w:val="auto"/>
              </w:rPr>
            </w:pPr>
          </w:p>
        </w:tc>
        <w:tc>
          <w:tcPr>
            <w:tcW w:w="98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6"/>
              </w:rPr>
              <w:t>October 30,</w:t>
            </w: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14" w:right="239" w:bottom="1440" w:gutter="0" w:footer="0" w:header="0"/>
          <w:type w:val="continuous"/>
        </w:sectPr>
      </w:pPr>
    </w:p>
    <w:bookmarkStart w:id="14" w:name="page15"/>
    <w:bookmarkEnd w:id="14"/>
    <w:p>
      <w:pPr>
        <w:jc w:val="both"/>
        <w:ind w:firstLine="324"/>
        <w:spacing w:after="0" w:line="264" w:lineRule="auto"/>
        <w:rPr>
          <w:sz w:val="20"/>
          <w:szCs w:val="20"/>
          <w:color w:val="auto"/>
        </w:rPr>
      </w:pPr>
      <w:r>
        <w:rPr>
          <w:rFonts w:ascii="Arial" w:cs="Arial" w:eastAsia="Arial" w:hAnsi="Arial"/>
          <w:sz w:val="18"/>
          <w:szCs w:val="18"/>
          <w:color w:val="auto"/>
        </w:rPr>
        <w:t>The components of net periodic benefit expense (income) other than the service cost component are included in Other expenses / (income) in the Consolidated Statements of Earnings. Beginning in 2018, under the revised FASB guidance adopted in the first quarter, only the service cost component of net periodic benefit expense (income) is eligible for capitalization.</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Beginning in 2018, we changed the method we use to estimate the service and interest cost components of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are making this change to provide a more precise measurement of service cost and interest cost by improving the correlation between projected benefit cash flows and the corresponding spot yield curve rates. This change will not affect the measurement of our benefit obligations. We accounted for this change prospectively in 2018 as a change in accounting estimate. As a result of this change, net periodic benefit income increased by approximately $4 in the three-month period ended October 29, 2017, compared to what the net periodic benefit income would have been under the previous method.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October 29, 2017, or July 30, 2017.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2017, our largest customer accounted for approximately 20%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39% of our consolidated net sales in 2017.</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$66 at October 29, 2017, and $84 at July 30, 2017.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$176 and $336 at October 29, 2017, and July 30, 2017, respectively. There were no cross-currency swap contracts outstanding as of October 29, 2017, or July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October 29, 2017, and July 30, 2017, which relates to an anticipated debt issuance in 2018. We settled forward starting interest rate swaps with a notional value of $300 in October 2017, at a loss of $22. The effective</w:t>
      </w:r>
    </w:p>
    <w:p>
      <w:pPr>
        <w:sectPr>
          <w:pgSz w:w="11900" w:h="16838" w:orient="portrait"/>
          <w:cols w:equalWidth="0" w:num="1">
            <w:col w:w="11420"/>
          </w:cols>
          <w:pgMar w:left="240" w:top="1314"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portion of the loss was recorded in other comprehensive income (loss) and will be recognized as additional interest expense over the 10-year life of the anticipated debt issuance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cocoa, soybean oil, aluminum, corn, soybean meal,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October 29, 2017, or July 30, 2017. The notional amount of commodity contracts not designated as accounting hedges was $76 at October 29, 2017, and $90 at July 30, 2017.</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$13 at October 29, 2017, and $35 at July 30, 2017. The fair value was not material as of October 29, 2017, and July 30, 2017. Unrealized gains (losses) and settlements are included in Cost of products sold in our Consolidated Statements of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October 29, 2017, and July 30, 2017, were $42 and $43, respectively.</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October 29, 2017, and July 30,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October 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93"/>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vMerge w:val="restart"/>
          </w:tcPr>
          <w:p>
            <w:pPr>
              <w:ind w:lef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6" w:name="page17"/>
    <w:bookmarkEnd w:id="1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October 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29, 2017, and July 30, 2017,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29, 2017</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October 29, 2017, and July 30, 2017, a cash margin account balance of $2 and $1, respectively, was included in Other current assets in the Consolidated Balance Sheets.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three-month periods ended October 29, 2017, and October 30, 2016, in other comprehensive income (loss) (OCI) and the Consolidated Statements of Earnings:</w:t>
      </w:r>
    </w:p>
    <w:p>
      <w:pPr>
        <w:spacing w:after="0" w:line="18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Total Cash-Flow Hedge</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13335</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4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October 29, 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October 30, 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3100" w:type="dxa"/>
            <w:vAlign w:val="bottom"/>
            <w:tcBorders>
              <w:bottom w:val="single" w:sz="8" w:color="CCEEFF"/>
            </w:tcBorders>
            <w:gridSpan w:val="4"/>
            <w:shd w:val="clear" w:color="auto" w:fill="CCEEFF"/>
          </w:tcPr>
          <w:p>
            <w:pPr>
              <w:ind w:left="26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440" w:type="dxa"/>
            <w:vAlign w:val="bottom"/>
            <w:tcBorders>
              <w:bottom w:val="single" w:sz="8" w:color="CCEEFF"/>
            </w:tcBorders>
            <w:gridSpan w:val="2"/>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40" w:type="dxa"/>
            <w:vAlign w:val="bottom"/>
            <w:gridSpan w:val="3"/>
          </w:tcPr>
          <w:p>
            <w:pPr>
              <w:spacing w:after="0"/>
              <w:rPr>
                <w:sz w:val="20"/>
                <w:szCs w:val="20"/>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$6. The ineffective portion and amount excluded from effectiveness testing were not material.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40"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 Recognized in</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Earnings on Derivatives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Location of (Gain) Loss</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16"/>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October 29, 2017</w:t>
            </w:r>
          </w:p>
        </w:tc>
        <w:tc>
          <w:tcPr>
            <w:tcW w:w="100" w:type="dxa"/>
            <w:vAlign w:val="bottom"/>
            <w:vMerge w:val="restart"/>
          </w:tcPr>
          <w:p>
            <w:pPr>
              <w:spacing w:after="0"/>
              <w:rPr>
                <w:sz w:val="6"/>
                <w:szCs w:val="6"/>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October 30, 2016</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2016, we agreed to make a $125 capital commitment to Acre Venture Partners, L.P.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October 29, 2017, we funded $64 of the capital commitment. Except for the remaining unfunded capital commitment of $61, we do not have obligations to provide additional financial or other support to Acre.</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$56 and $51 as of October 29, 2017, and July 30, 2017,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October 29, 2017, or July 30, 2017.</w:t>
      </w:r>
    </w:p>
    <w:p>
      <w:pPr>
        <w:spacing w:after="0" w:line="11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14" w:right="239" w:bottom="1440" w:gutter="0" w:footer="0" w:header="0"/>
        </w:sectPr>
      </w:pPr>
    </w:p>
    <w:bookmarkStart w:id="18" w:name="page19"/>
    <w:bookmarkEnd w:id="18"/>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October 29, 2017, and July 30, 2017,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7"/>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110"/>
              <w:spacing w:after="0" w:line="145" w:lineRule="exact"/>
              <w:rPr>
                <w:sz w:val="20"/>
                <w:szCs w:val="20"/>
                <w:color w:val="auto"/>
              </w:rPr>
            </w:pPr>
            <w:r>
              <w:rPr>
                <w:rFonts w:ascii="Arial" w:cs="Arial" w:eastAsia="Arial" w:hAnsi="Arial"/>
                <w:sz w:val="14"/>
                <w:szCs w:val="14"/>
                <w:b w:val="1"/>
                <w:bCs w:val="1"/>
                <w:color w:val="auto"/>
                <w:w w:val="91"/>
              </w:rPr>
              <w:t>October 29, 2017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October 29,</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9"/>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interest rate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7"/>
              </w:rPr>
              <w:t>Fair value option</w:t>
            </w:r>
          </w:p>
        </w:tc>
        <w:tc>
          <w:tcPr>
            <w:tcW w:w="160" w:type="dxa"/>
            <w:vAlign w:val="bottom"/>
          </w:tcPr>
          <w:p>
            <w:pPr>
              <w:spacing w:after="0"/>
              <w:rPr>
                <w:sz w:val="19"/>
                <w:szCs w:val="19"/>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3"/>
          </w:tcPr>
          <w:p>
            <w:pPr>
              <w:ind w:left="140"/>
              <w:spacing w:after="0" w:line="25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(5)</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vMerge w:val="restart"/>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40" w:type="dxa"/>
            <w:vAlign w:val="bottom"/>
            <w:gridSpan w:val="7"/>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110"/>
              <w:spacing w:after="0" w:line="145" w:lineRule="exact"/>
              <w:rPr>
                <w:sz w:val="20"/>
                <w:szCs w:val="20"/>
                <w:color w:val="auto"/>
              </w:rPr>
            </w:pPr>
            <w:r>
              <w:rPr>
                <w:rFonts w:ascii="Arial" w:cs="Arial" w:eastAsia="Arial" w:hAnsi="Arial"/>
                <w:sz w:val="14"/>
                <w:szCs w:val="14"/>
                <w:b w:val="1"/>
                <w:bCs w:val="1"/>
                <w:color w:val="auto"/>
                <w:w w:val="91"/>
              </w:rPr>
              <w:t>October 29, 2017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October 29,</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9"/>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interest rate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(6)</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Total liabilities at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120</w:t>
            </w:r>
          </w:p>
        </w:tc>
        <w:tc>
          <w:tcPr>
            <w:tcW w:w="42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8890</wp:posOffset>
            </wp:positionV>
            <wp:extent cx="63030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Based on observable market transactions of spot currency rates and forward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5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See Note 12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in 2018 or 2017.</w:t>
      </w:r>
    </w:p>
    <w:p>
      <w:pPr>
        <w:ind w:left="340" w:hanging="332"/>
        <w:spacing w:after="0" w:line="180"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Based on the fair value of the participants’ investments.</w:t>
      </w:r>
    </w:p>
    <w:p>
      <w:pPr>
        <w:sectPr>
          <w:pgSz w:w="11900" w:h="16838" w:orient="portrait"/>
          <w:cols w:equalWidth="0" w:num="1">
            <w:col w:w="11420"/>
          </w:cols>
          <w:pgMar w:left="240" w:top="1314"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$9 at October 29, 2017, and $8 at July 30, 2017,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$2,549 at October 29, 2017, and $2,582 at July 30, 2017. The carrying value was $2,484 at October 29, 2017, and $2,499 at July 30, 2017.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 Repurchases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three-month period ended October 29, 2017, we repurchased 2 million shares at a cost of $86. Of this amount, $75 was used to repurchase shares pursuant to our March 2017 publicly announced share repurchase program. Approximately $1,296 remained available under the March 2017 program as of October 29, 2017. During the three-month period ended October 30, 2016, we repurchased 2 million shares at a cost of $112.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provide compensation benefits by issuing stock options, unrestricted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2018, we issued stock options, time-lapse restricted stock units, EPS performance restricted stock units and TSR performance restricted stock units. We have not issued strategic performance restricted stock units or special performance restricted stock units in 2018.</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the Consolidated Statements of Earnings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83"/>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5"/>
          </w:tcPr>
          <w:p>
            <w:pPr>
              <w:jc w:val="right"/>
              <w:ind w:right="340"/>
              <w:spacing w:after="0" w:line="153" w:lineRule="exact"/>
              <w:rPr>
                <w:sz w:val="20"/>
                <w:szCs w:val="20"/>
                <w:color w:val="auto"/>
              </w:rPr>
            </w:pPr>
            <w:r>
              <w:rPr>
                <w:rFonts w:ascii="Arial" w:cs="Arial" w:eastAsia="Arial" w:hAnsi="Arial"/>
                <w:sz w:val="14"/>
                <w:szCs w:val="14"/>
                <w:b w:val="1"/>
                <w:bCs w:val="1"/>
                <w:color w:val="auto"/>
              </w:rPr>
              <w:t>October 29,</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5"/>
        </w:trPr>
        <w:tc>
          <w:tcPr>
            <w:tcW w:w="6420" w:type="dxa"/>
            <w:vAlign w:val="bottom"/>
            <w:gridSpan w:val="3"/>
          </w:tcPr>
          <w:p>
            <w:pPr>
              <w:ind w:left="340"/>
              <w:spacing w:after="0"/>
              <w:rPr>
                <w:sz w:val="20"/>
                <w:szCs w:val="20"/>
                <w:color w:val="auto"/>
              </w:rPr>
            </w:pPr>
            <w:r>
              <w:rPr>
                <w:rFonts w:ascii="Arial" w:cs="Arial" w:eastAsia="Arial" w:hAnsi="Arial"/>
                <w:sz w:val="18"/>
                <w:szCs w:val="18"/>
                <w:color w:val="auto"/>
                <w:w w:val="99"/>
              </w:rPr>
              <w:t>The following table summarizes stock option activity as of October 29, 2017:</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60" w:type="dxa"/>
            <w:vAlign w:val="bottom"/>
            <w:gridSpan w:val="2"/>
          </w:tcPr>
          <w:p>
            <w:pPr>
              <w:jc w:val="center"/>
              <w:ind w:left="264"/>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60" w:type="dxa"/>
            <w:vAlign w:val="bottom"/>
            <w:gridSpan w:val="2"/>
          </w:tcPr>
          <w:p>
            <w:pPr>
              <w:jc w:val="center"/>
              <w:ind w:left="284"/>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left="264"/>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left="264"/>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03"/>
              <w:spacing w:after="0" w:line="149" w:lineRule="exact"/>
              <w:rPr>
                <w:sz w:val="20"/>
                <w:szCs w:val="20"/>
                <w:color w:val="auto"/>
              </w:rPr>
            </w:pPr>
            <w:r>
              <w:rPr>
                <w:rFonts w:ascii="Arial" w:cs="Arial" w:eastAsia="Arial" w:hAnsi="Arial"/>
                <w:sz w:val="14"/>
                <w:szCs w:val="14"/>
                <w:b w:val="1"/>
                <w:bCs w:val="1"/>
                <w:color w:val="auto"/>
              </w:rPr>
              <w:t>Intrinsic</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jc w:val="center"/>
              <w:ind w:left="264"/>
              <w:spacing w:after="0"/>
              <w:rPr>
                <w:sz w:val="20"/>
                <w:szCs w:val="20"/>
                <w:color w:val="auto"/>
              </w:rPr>
            </w:pPr>
            <w:r>
              <w:rPr>
                <w:rFonts w:ascii="Arial" w:cs="Arial" w:eastAsia="Arial" w:hAnsi="Arial"/>
                <w:sz w:val="14"/>
                <w:szCs w:val="14"/>
                <w:b w:val="1"/>
                <w:bCs w:val="1"/>
                <w:color w:val="auto"/>
                <w:w w:val="96"/>
              </w:rPr>
              <w:t>Life</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left="264"/>
              <w:spacing w:after="0" w:line="153" w:lineRule="exact"/>
              <w:rPr>
                <w:sz w:val="20"/>
                <w:szCs w:val="20"/>
                <w:color w:val="auto"/>
              </w:rPr>
            </w:pPr>
            <w:r>
              <w:rPr>
                <w:rFonts w:ascii="Arial" w:cs="Arial" w:eastAsia="Arial" w:hAnsi="Arial"/>
                <w:sz w:val="14"/>
                <w:szCs w:val="14"/>
                <w:b w:val="1"/>
                <w:bCs w:val="1"/>
                <w:color w:val="auto"/>
                <w:w w:val="96"/>
              </w:rPr>
              <w:t>(In years)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30, 2017</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47.19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29, 2017</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50.34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5"/>
              </w:rPr>
              <w:t>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October 29, 2017</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51.40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w w:val="95"/>
              </w:rPr>
              <w:t>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No options were exercised during the three-month period ended October 30, 2016.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ectPr>
          <w:pgSz w:w="11900" w:h="16838" w:orient="portrait"/>
          <w:cols w:equalWidth="0" w:num="1">
            <w:col w:w="11420"/>
          </w:cols>
          <w:pgMar w:left="240" w:top="1314"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ind w:left="340"/>
        <w:spacing w:after="0"/>
        <w:rPr>
          <w:sz w:val="20"/>
          <w:szCs w:val="20"/>
          <w:color w:val="auto"/>
        </w:rPr>
      </w:pPr>
      <w:r>
        <w:rPr>
          <w:rFonts w:ascii="Arial" w:cs="Arial" w:eastAsia="Arial" w:hAnsi="Arial"/>
          <w:sz w:val="18"/>
          <w:szCs w:val="18"/>
          <w:color w:val="auto"/>
        </w:rPr>
        <w:t>The assumptions and grant-date fair values for grants in 2018 and 2017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6 years</w:t>
            </w:r>
          </w:p>
        </w:tc>
        <w:tc>
          <w:tcPr>
            <w:tcW w:w="900" w:type="dxa"/>
            <w:vAlign w:val="bottom"/>
          </w:tcPr>
          <w:p>
            <w:pPr>
              <w:ind w:left="200"/>
              <w:spacing w:after="0"/>
              <w:rPr>
                <w:sz w:val="20"/>
                <w:szCs w:val="20"/>
                <w:color w:val="auto"/>
              </w:rPr>
            </w:pPr>
            <w:r>
              <w:rPr>
                <w:rFonts w:ascii="Arial" w:cs="Arial" w:eastAsia="Arial" w:hAnsi="Arial"/>
                <w:sz w:val="18"/>
                <w:szCs w:val="18"/>
                <w:color w:val="auto"/>
              </w:rPr>
              <w:t>6 years</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$6.67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$7.51</w:t>
            </w:r>
          </w:p>
        </w:tc>
      </w:tr>
      <w:tr>
        <w:trPr>
          <w:trHeight w:val="27"/>
        </w:trPr>
        <w:tc>
          <w:tcPr>
            <w:tcW w:w="9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October 29, 2017, total remaining unearned compensation related to nonvested stock options was $4, which will be amortized over the weighted-average remaining service period of 1.1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time-lapse restricted stock units and EPS performance restricted stock units as of October 29,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29,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150 thousand EPS performance target grants outstanding at October 29, 2017, with a weighted-average grant-date fair value of $49.58. The actual number of EPS performance restricted stock units issued at the vesting date could range from 0% or 100% of the initial grant, depending on actual performance achieved. We estimate expense based on the number of awards expected to vest. In the first quarter of 2017, recipients of strategic performance restricted stock units earned 35% of the initial grants based on actual performance achieved during a three-year period ended July 31, 2016. There were no strategic performance restricted stock units outstanding at October 29, 2017.</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October 29, 2017, total remaining unearned compensation related to nonvested time-lapse restricted stock units and EPS performance restricted stock units was $42, which will be amortized over the weighted-average remaining service period of 1.9 years. The fair value of restricted stock units vested during the three-month periods ended October 29, 2017, and October 30, 2016, was $29, and $50, respectively. The weighted-average grant-date fair value of the restricted stock units granted during the three-month period ended October 30, 2016, was $54.72.</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4"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October 29,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29,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17.78%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compensation expense on a straight-line basis over the service period. As of October 29, 2017, total remaining unearned compensation related to TSR performance restricted stock units was $44, which will be amortized over the weighted-average remaining service period of 2.2 years. In the first quarter of 2018, recipients of TSR performance restricted stock units earned 125% of the initial grants based upon our TSR ranking in a performance peer group during a three-year period ended July 28, 2017. As a result, approximately 160,000 additional shares were awarded. In the first quarter of 2017, recipients of TSR performance restricted stock units earned 75% of the initial grants based upon our TSR ranking in a performance peer group during a three-year period ended July 29, 2016. The fair value of TSR performance restricted stock units vested during the three-month periods ended October 29, 2017, and October 30, 2016, was $38 and $14, respectively. The grant-date fair value of the TSR performance restricted stock units granted during 2017 was $39.53.</w:t>
      </w:r>
    </w:p>
    <w:p>
      <w:pPr>
        <w:spacing w:after="0" w:line="1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operating activities for the three-month periods ended October 29, 2017, and October 30, 2016, were $5 and $6,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29, 2017.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1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17.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October 29,</w:t>
            </w:r>
          </w:p>
        </w:tc>
        <w:tc>
          <w:tcPr>
            <w:tcW w:w="180" w:type="dxa"/>
            <w:vAlign w:val="bottom"/>
          </w:tcPr>
          <w:p>
            <w:pPr>
              <w:spacing w:after="0"/>
              <w:rPr>
                <w:sz w:val="14"/>
                <w:szCs w:val="14"/>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Raw materials, containers and supplies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products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Statements of Earnings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October 29,</w:t>
            </w:r>
          </w:p>
        </w:tc>
        <w:tc>
          <w:tcPr>
            <w:tcW w:w="180" w:type="dxa"/>
            <w:vAlign w:val="bottom"/>
          </w:tcPr>
          <w:p>
            <w:pPr>
              <w:spacing w:after="0"/>
              <w:rPr>
                <w:sz w:val="13"/>
                <w:szCs w:val="13"/>
                <w:color w:val="auto"/>
              </w:rPr>
            </w:pPr>
          </w:p>
        </w:tc>
        <w:tc>
          <w:tcPr>
            <w:tcW w:w="10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expense (income) other than the 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Investment losses</w:t>
            </w: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1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a manufacturer and marketer of high-quality, branded food and beverage products. We manage our businesses in three divisions focused mainly on product categories. The divisions, which represent our operating and reportable segments, are as follows: Americas Simple Meals and Beverages; Global Biscuits and Snacks; and Campbell Fresh. Through the fourth quarter of 2017, our business in Latin America was managed as part of the Americas Simple Meals and Beverages segment. Beginning in 2018, our business in Latin America is managed as part of the Global Biscuits and Snacks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we adopted new accounting guidance that changes the presentation of net periodic pension cost and net periodic postretirement benefit cost. Certain amounts in the prior year were reclassified to conform to the current presentation. See also Note 2 to the Consolidated Financial Statements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sales decreased 2% in 2018 to $2.161 billion primarily due to lower volume in Americas Simple Meals and Beverages, partially offset by gains in Global Biscuits and Snacks.</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Gross profit, as a percent of sales, decreased to 36.2% from 38.6% a year ago. The decrease was primarily due to cost inflation and higher supply chain costs, and unfavorable mix, partially offset by productivity improvements and increased benefits from cost savings initiatives.</w:t>
      </w:r>
    </w:p>
    <w:p>
      <w:pPr>
        <w:spacing w:after="0" w:line="92"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expenses increased 19% to $149 million from $125 million a year ago. The increase was primarily due to an increase in information technology costs, higher costs related to the implementation of the new organizational structure and cost savings initiatives, costs associated with the pending acquisition of Pacific Foods of Oregon, Inc.(Pacific Foods), inflation, investments in long-term innovation, and the impact of currency translation.</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expenses / (income) decreased from expense of $11 million in 2017 to income of $29 million in 2018, primarily due to gains on pension and postretirement benefit mark-to-market adjustments in the current quarter compared to losses in the prior-year quarter.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effective tax rate declined to 28.0% in 2018 from 31.9% in 2017, primarily due to the favorable resolution of a state tax matter in 2018.</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per share were $.91 in 2018, compared to $.94 a year ago. The current and prior-year quarter included expenses of $.01 and $.06 per share, respectively, from items impacting comparability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first quarter of 2018, we recognized gains of $14 million in Other expenses / (income) ($9 million after tax, or $.03 per share) associated with mark-to-market adjustments for defined benefit pension and postretirement plans. In the first quarter of 2017, we recognized losses of $20 million in Other expenses / (income) ($13 million after tax, or $.04 per share) associated with mark-to-market adjustments for defined benefit pension and postretirement plans; and</w:t>
      </w:r>
    </w:p>
    <w:p>
      <w:pPr>
        <w:spacing w:after="0" w:line="13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2015, we implemented a new enterprise design and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the first quarter of 2018, we recorded a pre-tax restructuring charge of $2 million and implementation costs and other related costs of $12 million in Administrative expenses and $5 million in Cost of products sold (aggregate impact of $12 million after tax, or $.04 per share) related to these initiatives. In the first quarter of 2017, we recorded a pre-tax restructuring charge of $1 million and implementation costs and other related costs of $8 million in Administrative expenses (aggregate impact of $6 million after tax, or $.02 per share) related to these initiatives. See Note 7 to the Consolidated Financial Statements and "Restructuring Charges and Cost Savings Initiatives" for additional information.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10"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4"/>
                <w:szCs w:val="14"/>
                <w:b w:val="1"/>
                <w:bCs w:val="1"/>
                <w:color w:val="auto"/>
              </w:rPr>
              <w:t>October 29,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October 30, 2016</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Net earnings attributable to Campbell Soup Company were $275 million ($.91 per share) in the current quarter, compared to $292 million ($.94 per share) in the year-ago quarter. After adjusting for items impacting comparability, earnings decreased primarily due to a lower gross profit performance, lower sales and higher administrative expenses, partially offset by a lower effective tax rate and lower marketing and selling expenses. Earnings per share benefited from a reduction in the weighted average diluted shares outstanding, primarily due to share repurchases under our strategic share repurchase program.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29, 2017</w:t>
            </w: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30, 2016</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auto"/>
              </w:rPr>
              <w:t>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7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2,161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7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and Beverages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Snacks</w:t>
            </w: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Decreased Promotional Spending</w:t>
            </w:r>
            <w:r>
              <w:rPr>
                <w:rFonts w:ascii="Arial" w:cs="Arial" w:eastAsia="Arial" w:hAnsi="Arial"/>
                <w:sz w:val="25"/>
                <w:szCs w:val="25"/>
                <w:color w:val="auto"/>
                <w:vertAlign w:val="superscript"/>
              </w:rPr>
              <w:t>(1)</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4700" w:type="dxa"/>
            <w:vAlign w:val="bottom"/>
            <w:vMerge w:val="restart"/>
          </w:tcPr>
          <w:p>
            <w:pPr>
              <w:jc w:val="right"/>
              <w:ind w:right="1192"/>
              <w:spacing w:after="0"/>
              <w:rPr>
                <w:sz w:val="20"/>
                <w:szCs w:val="20"/>
                <w:color w:val="auto"/>
              </w:rPr>
            </w:pPr>
            <w:r>
              <w:rPr>
                <w:rFonts w:ascii="Arial" w:cs="Arial" w:eastAsia="Arial" w:hAnsi="Arial"/>
                <w:sz w:val="16"/>
                <w:szCs w:val="16"/>
                <w:color w:val="auto"/>
                <w:w w:val="90"/>
              </w:rPr>
              <w:t>__________________________________________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In Americas Simple Meals and Beverages, sales decreased 5% primarily due to declines in soup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partly offset by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excluding the favorable impact of currency translation, gains in our retail business in Canada and our food service business. U.S. soup sales decreased 9% due to declines in condensed soups, broth and ready-to-serve soups. The decline was a result of our inability to reach an agreement with a key customer on a promotional approach for U.S. soup in 2018. Approximately 7 points of the decline resulted from a lower seasonal build of retailer inventory compared to a year ago. Retail consumer takeaway of U.S. soup decreased 2% in the quarter, based on IRI Total U.S. Multi-Outlet data. In addition, broth performance was impacted by competition from private label.</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Global Biscuits and Snacks, sales increased 3%, reflecting a 1% favorable impact from currency translation. Excluding the favorable impact of currency translation, segment sales increased primarily due to gains in Pepperidge Farm, reflecting growth in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and in cookies. Excluding the favorable impact of currency translation, sales declines in Arnott's biscuits in Australia were partly offset by gains in New Zealand and in Indonesia.</w:t>
      </w:r>
    </w:p>
    <w:p>
      <w:pPr>
        <w:spacing w:after="0" w:line="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 Campbell Fresh, sales were comparable with the year-ago quarter as gains in carrot ingredients, Garden Fresh Gourmet and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salad dressings were offset by declines in carrots. Carrot sales were negatively impacted by adverse weather,</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4" w:right="239" w:bottom="1440" w:gutter="0" w:footer="0" w:header="0"/>
          <w:type w:val="continuous"/>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 xml:space="preserve">which led to customer allocations. Sales of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were comparable with the year-ago quarter. Promotional spending decreased 1%, primarily on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$68 million in 2018 from 2017. As a percent of sales, gross profit was 36.2% in 2018 and 38.6% in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2.4 percentage-point overall decrease in gross profit percentage was due to the following factors: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r>
      <w:tr>
        <w:trPr>
          <w:trHeight w:val="270"/>
        </w:trPr>
        <w:tc>
          <w:tcPr>
            <w:tcW w:w="89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(2.5)%</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Mix</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(0.8)</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Restructuring-related costs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(0.3)</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Lower selling prices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(0.2)</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level of promotional spending</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0.1</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Productivity improvements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1.3</w:t>
            </w:r>
          </w:p>
        </w:tc>
      </w:tr>
      <w:tr>
        <w:trPr>
          <w:trHeight w:val="27"/>
        </w:trPr>
        <w:tc>
          <w:tcPr>
            <w:tcW w:w="89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8"/>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17145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34290</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5" w:lineRule="exact"/>
        <w:rPr>
          <w:sz w:val="20"/>
          <w:szCs w:val="20"/>
          <w:color w:val="auto"/>
        </w:rPr>
      </w:pPr>
    </w:p>
    <w:p>
      <w:pPr>
        <w:ind w:left="340" w:right="2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0.6 of a point from cost savings initiatives, which was more than offset by cost inflation and other factors, including higher carrot costs and higher transportation and logistics costs in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Marketing and selling expenses as a percent of sales were 10.1% in 2018 compared to 10.4% in 2017. Marketing and selling expenses decreased 5% in 2018 from 2017. The decrease was primarily due to lower advertising and consumer promotion expenses (approximately 4 percentage points) and increased benefits from cost savings initiatives (approximately 1 percentage point).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6.9% in 2018 compared to 5.7% in 2017. Administrative expenses increased 19% in 2018 from 2017. The increase was primarily due to an increase in information technology costs (approximately 6 percentage points); higher costs related to cost savings initiatives (approximately 3 percentage points); costs associated with the pending acquisition of Pacific Foods (approximately 2 percentage points); inflation (approximately 2 percentage points); investments in long-term innovation (approximately 2 percentage points); and the impact of currency translation (approximately 1 percentage point).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income in 2018 included gains on pension and postretirement benefit mark-to-market adjustments of $14 million compared to losses of $20 million in the prior year. The remaining increase in other income in 2018 was due primarily to higher pension and postretirement benefit income, partially offset by losses on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11% in 2018 from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4"/>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9"/>
              </w:rPr>
              <w:t>October 29, 2017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October 30, 2016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Simple Meals and Beverages</w:t>
            </w:r>
          </w:p>
        </w:tc>
        <w:tc>
          <w:tcPr>
            <w:tcW w:w="4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(14)%</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4</w:t>
            </w:r>
          </w:p>
        </w:tc>
      </w:tr>
      <w:tr>
        <w:trPr>
          <w:trHeight w:val="27"/>
        </w:trPr>
        <w:tc>
          <w:tcPr>
            <w:tcW w:w="7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2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442</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(11)%</w:t>
            </w:r>
          </w:p>
        </w:tc>
      </w:tr>
      <w:tr>
        <w:trPr>
          <w:trHeight w:val="27"/>
        </w:trPr>
        <w:tc>
          <w:tcPr>
            <w:tcW w:w="7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72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r>
      <w:tr>
        <w:trPr>
          <w:trHeight w:val="26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ectPr>
          <w:pgSz w:w="11900" w:h="16838" w:orient="portrait"/>
          <w:cols w:equalWidth="0" w:num="1">
            <w:col w:w="11420"/>
          </w:cols>
          <w:pgMar w:left="240" w:top="131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14" w:right="239" w:bottom="1440" w:gutter="0" w:footer="0" w:header="0"/>
          <w:type w:val="continuous"/>
        </w:sectPr>
      </w:pPr>
    </w:p>
    <w:bookmarkStart w:id="26" w:name="page27"/>
    <w:bookmarkEnd w:id="26"/>
    <w:p>
      <w:pPr>
        <w:jc w:val="both"/>
        <w:ind w:firstLine="324"/>
        <w:spacing w:after="0" w:line="342" w:lineRule="auto"/>
        <w:rPr>
          <w:sz w:val="20"/>
          <w:szCs w:val="20"/>
          <w:color w:val="auto"/>
        </w:rPr>
      </w:pPr>
      <w:r>
        <w:rPr>
          <w:rFonts w:ascii="Arial" w:cs="Arial" w:eastAsia="Arial" w:hAnsi="Arial"/>
          <w:sz w:val="16"/>
          <w:szCs w:val="16"/>
          <w:color w:val="auto"/>
        </w:rPr>
        <w:t>Operating earnings from Americas Simple Meals and Beverages decreased 14%. The decrease was primarily due to lower sales volume and a lower gross profit percentage impacted by higher transportation and logistics costs and unfavorable mix, partly offset by lower marketing and selling expenses.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earnings from Global Biscuits and Snacks increased 4%. The increase was primarily due to higher sales volume.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Campbell Fresh decreased from $1 million in 2017 to a loss of $6 million in 2018. The decrease was primarily due to a lower gross profit percentage, reflecting higher carrot costs. Carrot costs were negatively impacted in the current quarter by the adverse impact of weather conditions on crop yields.</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Corporate in 2018 included a $14 million gain associated with pension and postretirement benefit mark-to-market adjustments and costs of $17 million related to the implementation of our new organizational structure and cost savings initiatives. Corporate in 2017 included a $20 million loss associated with pension and postretirement benefit mark-to-market adjustments and costs of $8 million related to cost savings initiatives. Excluding these amounts, the remaining increase in costs was primarily due to losses on investments in 2018, higher administrative expenses as well as losses on open commodity hedges versus gains in the prior-year quarter, partially offset by higher pension and postretirement benefit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increased to $31 million in 2018 from $29 million in 2017 reflecting higher average interest rates on the debt portfolio.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 tax rate was 28.0% in 2018 and 31.9% in 2017. The decline in the effective rate was primarily due to the favorable resolution of a state tax matter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1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and Cost of products sold related to the implementation of the new organizational structure and costs savings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29, 2017</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30, 2016</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 2017</w:t>
            </w:r>
          </w:p>
        </w:tc>
        <w:tc>
          <w:tcPr>
            <w:tcW w:w="18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31, 2016</w:t>
            </w:r>
          </w:p>
        </w:tc>
        <w:tc>
          <w:tcPr>
            <w:tcW w:w="140" w:type="dxa"/>
            <w:vAlign w:val="bottom"/>
          </w:tcPr>
          <w:p>
            <w:pPr>
              <w:spacing w:after="0"/>
              <w:rPr>
                <w:sz w:val="22"/>
                <w:szCs w:val="22"/>
                <w:color w:val="auto"/>
              </w:rPr>
            </w:pPr>
          </w:p>
        </w:tc>
        <w:tc>
          <w:tcPr>
            <w:tcW w:w="11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August 2, 2015</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r>
      <w:tr>
        <w:trPr>
          <w:trHeight w:val="67"/>
        </w:trPr>
        <w:tc>
          <w:tcPr>
            <w:tcW w:w="47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47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Aggregate after-tax impact</w:t>
            </w:r>
          </w:p>
        </w:tc>
        <w:tc>
          <w:tcPr>
            <w:tcW w:w="400" w:type="dxa"/>
            <w:vAlign w:val="bottom"/>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0"/>
                <w:szCs w:val="20"/>
                <w:color w:val="auto"/>
              </w:rPr>
            </w:pP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67"/>
        </w:trPr>
        <w:tc>
          <w:tcPr>
            <w:tcW w:w="47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Per share impact</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4" w:right="239" w:bottom="1440" w:gutter="0" w:footer="0" w:header="0"/>
          <w:type w:val="continuous"/>
        </w:sectPr>
      </w:pPr>
    </w:p>
    <w:bookmarkStart w:id="27" w:name="page28"/>
    <w:bookmarkEnd w:id="27"/>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00" w:type="dxa"/>
            <w:vAlign w:val="bottom"/>
          </w:tcPr>
          <w:p>
            <w:pPr>
              <w:jc w:val="right"/>
              <w:ind w:right="216"/>
              <w:spacing w:after="0"/>
              <w:rPr>
                <w:sz w:val="20"/>
                <w:szCs w:val="20"/>
                <w:color w:val="auto"/>
              </w:rPr>
            </w:pPr>
            <w:r>
              <w:rPr>
                <w:rFonts w:ascii="Arial" w:cs="Arial" w:eastAsia="Arial" w:hAnsi="Arial"/>
                <w:sz w:val="14"/>
                <w:szCs w:val="14"/>
                <w:b w:val="1"/>
                <w:bCs w:val="1"/>
                <w:color w:val="auto"/>
                <w:w w:val="93"/>
              </w:rPr>
              <w:t>Recognized as of</w:t>
            </w:r>
          </w:p>
        </w:tc>
        <w:tc>
          <w:tcPr>
            <w:tcW w:w="0" w:type="dxa"/>
            <w:vAlign w:val="bottom"/>
          </w:tcPr>
          <w:p>
            <w:pPr>
              <w:spacing w:after="0"/>
              <w:rPr>
                <w:sz w:val="1"/>
                <w:szCs w:val="1"/>
                <w:color w:val="auto"/>
              </w:rPr>
            </w:pPr>
          </w:p>
        </w:tc>
      </w:tr>
      <w:tr>
        <w:trPr>
          <w:trHeight w:val="192"/>
        </w:trPr>
        <w:tc>
          <w:tcPr>
            <w:tcW w:w="9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October 29, 2017</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7"/>
        </w:trPr>
        <w:tc>
          <w:tcPr>
            <w:tcW w:w="98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$380 million to $420 million. This estimate will be updated as costs for the expanded initiatives are developed.</w:t>
      </w:r>
    </w:p>
    <w:p>
      <w:pPr>
        <w:spacing w:after="0" w:line="116"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$140 million in severance pay and benefits; approximately $20 million in asset impairment and accelerated depreciation; and approximately $220 million to $260 million in implementation costs and other related costs.We expect these pre-tax costs to be associated with our segments as follows: Americas Simple Meals and Beverages - approximately 30%; Global Biscuits and Snacks - approximately 38%; Campbell Fresh - approximately 4%; and Corporate - approximately 28%.</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the aggregate $380 million to $420 million of pre-tax costs identified to date, we expect approximately $350 million to $390 million will be cash expenditures. In addition, we expect to invest approximately $180 million in capital expenditures through 2019 primarily related to the construction of a network of distribution centers for our U.S. thermal plants and insourcing of manufacturing for certain simple meal products, of which we invested approximately $22 million as of October 29, 2017.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to incur substantially all of the costs through 2019 and to fund the costs through cash flows from operations and short-term borrowings.</w:t>
      </w:r>
    </w:p>
    <w:p>
      <w:pPr>
        <w:spacing w:after="0" w:line="1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the initiatives for actions that have been identified to date to generate pre-tax savings of $390 million in 2018, and once all phases are implemented, to generate annual ongoing savings of approximately $450 million beginning in 2020. In the first quarter of 2018, we generated an additional $20 million of pre-tax savings. The annual pre-tax savings generated by the initiatives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3"/>
                <w:szCs w:val="13"/>
                <w:color w:val="auto"/>
              </w:rPr>
            </w:pPr>
          </w:p>
        </w:tc>
        <w:tc>
          <w:tcPr>
            <w:tcW w:w="9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July 30,</w:t>
            </w: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July 31, 2016</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August 2, 2015</w:t>
            </w:r>
          </w:p>
        </w:tc>
        <w:tc>
          <w:tcPr>
            <w:tcW w:w="0" w:type="dxa"/>
            <w:vAlign w:val="bottom"/>
          </w:tcPr>
          <w:p>
            <w:pPr>
              <w:spacing w:after="0"/>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October 29, 2017</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Costs Incurred to Date</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$188 million in 2018, compared to $221 million in 2017. The decline in 2018 was primarily due to higher payments on hedging activities and higher working capital requirements, partially offset by higher cash earnings.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14" w:right="239" w:bottom="1440" w:gutter="0" w:footer="0" w:header="0"/>
          <w:type w:val="continuous"/>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payment terms for accounts payables. We had negative working capital of $587 million as of October 29, 2017, and $495 million as of July 30, 2017. Debt maturing within one year was $1.192 billion as of October 29, 2017, and $1.037 billion as of July 30, 2017.</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were $58 million in 2018 compared to $48 million in 2017. Capital expenditures are expected to total approximately $400 million in 2018. Capital expenditures in 2018 included a U.S. warehouse optimization project (approximately $5 million); insourcing manufacturing for certain simple meal products (approximately $5 million); replacement of a Pepperidge Farm refrigeration system (approximately $3 million); and an Australian multi-pack biscuit capacity expansion project (approximately $1 million).</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July 6, 2017, we entered into an agreement to acquire Pacific Foods for $700 million, subject to customary purchase price adjustments related to the amount of Pacific Foods' cash, debt, working capital and transaction expenses. The closing of the transaction is subject to customary closing conditions and termination rights. The agreement provides that if we fail to close the transaction when all conditions to closing have been satisfied or if we are in breach of the agreement, we will be required to pay Pacific Foods a $50 million termination fee. On August 21, 2017, the estate of a former Pacific Foods shareholder, Edward C. Lynch, filed a lawsuit against Pacific Foods and certain of its directors, among others, seeking in excess of $250 million in damages. On September 27, 2017, we notified Pacific Foods that it had 60 days under the terms of the agreement to resolve the issues arising from the suit in order for the transaction to close. Pacific Foods has resolved the issues arising from the suit, and we expect the acquisition to close in December 2017. We expect to fund the acquisition through debt. For additional information on this pending acquisition, see our Form 8-K filed with the U.S. Securities and Exchange Commission on July 6, 2017.</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$111 million in 2018 and $100 million in 2017. We repurchased approximately 2 million shares at a cost of $86 million in 2018 and approximately 2 million shares at a cost of $112 million in 2017. See Note 14 to the Consolidated Financial Statements and "Unregistered Sales of Equity Securities and Use of Proceeds" for more information.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October 29, 2017, we had $1.192 billion of short-term borrowings due within one year, of which $810 million was comprised of commercial paper borrowings. As of October 29, 2017, we issued $52 million of standby letters of credit. We have a committed revolving credit facility totaling $1.85 billion that matures in December 2021. This U.S. facility remained unused at October 29, 2017, except for $1 million of standby letters of credit that we issued under it. The U.S. facility supports our commercial paper programs and other general corporate purposes. In July 2016, we entered into a Canadian committed revolving credit facility that matures in July 2019. As of October 29, 2017, the total commitment under the Canadian facility was CAD $170 million, or $133 million, and we had borrowings of CAD $162 million, or $126 million, at a rate of 2.28% under this facility. The Canadian facility supports general corporate purposes.</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2017, we filed a shelf registration statement with the Securities and Exchange Commission that registered an indeterminate amount of debt securities. Under the registration statement, we may issue debt securities from time to time,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30, 2017 (2017 Annual Report on Form 10-K). The accounting policies we used in preparing these financial statements are substantially consistent with those we applied in our 2017 Annual Report on Form 10-K, with the exception of the adoption of new guidance that changes the presentation of net periodic pension cost and net periodic postretirement benefit cost as described in Note 2 to the Consolidated Financial Statements. Our significant accounting estimates are described in Management’s Discussion and Analysis included in the 2017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and similar expressions. One can also identify forward-looking statements by the fact that they do not relate strictly to historical or current facts.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2017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continue to increase their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complete and to realize the projected benefits of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non-U.S. operations, including export and import restrictions, public corruption and compliance with foreign laws and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10"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2017 Annual Report on Form 10-K. There have been no significant changes in our portfolio of financial instruments or market risk exposures from the 2017 year-end.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October 29, 2017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October 29, 2017.</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10" w:right="239" w:bottom="1440" w:gutter="0" w:footer="0" w:header="0"/>
        </w:sectPr>
      </w:pPr>
    </w:p>
    <w:bookmarkStart w:id="31" w:name="page32"/>
    <w:bookmarkEnd w:id="31"/>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 xml:space="preserve">Purchased </w:t>
            </w:r>
            <w:r>
              <w:rPr>
                <w:rFonts w:ascii="Arial" w:cs="Arial" w:eastAsia="Arial" w:hAnsi="Arial"/>
                <w:sz w:val="8"/>
                <w:szCs w:val="8"/>
                <w:b w:val="1"/>
                <w:bCs w:val="1"/>
                <w:color w:val="auto"/>
                <w:w w:val="91"/>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7/31/17 - 8/31/17</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9/1/17 - 9/29/17</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1,448,045</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$47.27 </w:t>
            </w:r>
            <w:r>
              <w:rPr>
                <w:rFonts w:ascii="Arial" w:cs="Arial" w:eastAsia="Arial" w:hAnsi="Arial"/>
                <w:sz w:val="25"/>
                <w:szCs w:val="25"/>
                <w:color w:val="auto"/>
                <w:vertAlign w:val="superscript"/>
              </w:rPr>
              <w:t>(4)</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1,320,700</w:t>
            </w:r>
          </w:p>
        </w:tc>
        <w:tc>
          <w:tcPr>
            <w:tcW w:w="3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10/2/17 - 10/27/17</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365,600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(5)</w:t>
            </w:r>
          </w:p>
        </w:tc>
        <w:tc>
          <w:tcPr>
            <w:tcW w:w="1480" w:type="dxa"/>
            <w:vAlign w:val="bottom"/>
            <w:gridSpan w:val="2"/>
            <w:shd w:val="clear" w:color="auto" w:fill="CCEEFF"/>
          </w:tcPr>
          <w:p>
            <w:pPr>
              <w:ind w:left="620"/>
              <w:spacing w:after="0" w:line="270" w:lineRule="exact"/>
              <w:rPr>
                <w:sz w:val="20"/>
                <w:szCs w:val="20"/>
                <w:color w:val="auto"/>
              </w:rPr>
            </w:pPr>
            <w:r>
              <w:rPr>
                <w:rFonts w:ascii="Arial" w:cs="Arial" w:eastAsia="Arial" w:hAnsi="Arial"/>
                <w:sz w:val="18"/>
                <w:szCs w:val="18"/>
                <w:color w:val="auto"/>
              </w:rPr>
              <w:t xml:space="preserve">$46.59 </w:t>
            </w:r>
            <w:r>
              <w:rPr>
                <w:rFonts w:ascii="Arial" w:cs="Arial" w:eastAsia="Arial" w:hAnsi="Arial"/>
                <w:sz w:val="25"/>
                <w:szCs w:val="25"/>
                <w:color w:val="auto"/>
                <w:vertAlign w:val="superscript"/>
              </w:rPr>
              <w:t>(5)</w:t>
            </w: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267,600</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1,813,645</w:t>
            </w:r>
          </w:p>
        </w:tc>
        <w:tc>
          <w:tcPr>
            <w:tcW w:w="340" w:type="dxa"/>
            <w:vAlign w:val="bottom"/>
          </w:tcPr>
          <w:p>
            <w:pPr>
              <w:spacing w:after="0"/>
              <w:rPr>
                <w:sz w:val="20"/>
                <w:szCs w:val="20"/>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0"/>
              </w:rPr>
              <w:t>$47.13</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1,588,300</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ind w:left="34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Shares purchased are as of the trade date. Includes 225,345 shares repurchased in open-market transactions to offset the dilutive impact to existing shareholders of issuances under stock compensation plans.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5"/>
          <w:szCs w:val="25"/>
          <w:color w:val="auto"/>
          <w:vertAlign w:val="superscript"/>
        </w:rPr>
      </w:pPr>
    </w:p>
    <w:p>
      <w:pPr>
        <w:jc w:val="both"/>
        <w:ind w:left="340" w:hanging="332"/>
        <w:spacing w:after="0" w:line="227"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During the first quarter of 2018, we had a publicly announced strategic share repurchase program. Under this program, which was announced on March 22, 2017 and effective May 1, 2017, our Board of Directors authorized the purchase of up to $1.5 billion of our stock. The program has no expiration date. Pursuant to our longstanding practice, under a separate authorization for 2018, we expect to continue purchasing shares sufficient to offset shares issued under our incentive compensation plans.</w:t>
      </w:r>
    </w:p>
    <w:p>
      <w:pPr>
        <w:spacing w:after="0" w:line="4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127,345 shares repurchased in open-market transactions at an average price of $46.76 primarily to offset the dilutive impact to existing shareholders of issuances under stock compensation plans.</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98,000 shares repurchased in open-market transactions at an average price of $46.59 primarily to offset the dilutive impact to existing shareholders of issuances under stock compensation plans.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80" w:type="dxa"/>
            <w:vAlign w:val="bottom"/>
            <w:gridSpan w:val="5"/>
          </w:tcPr>
          <w:p>
            <w:pPr>
              <w:ind w:left="1040"/>
              <w:spacing w:after="0"/>
              <w:rPr>
                <w:sz w:val="20"/>
                <w:szCs w:val="20"/>
                <w:color w:val="auto"/>
              </w:rPr>
            </w:pPr>
            <w:r>
              <w:rPr>
                <w:rFonts w:ascii="Arial" w:cs="Arial" w:eastAsia="Arial" w:hAnsi="Arial"/>
                <w:sz w:val="18"/>
                <w:szCs w:val="18"/>
                <w:color w:val="auto"/>
              </w:rPr>
              <w:t>INDEX TO EXHIBITS</w:t>
            </w:r>
          </w:p>
        </w:tc>
      </w:tr>
      <w:tr>
        <w:trPr>
          <w:trHeight w:val="554"/>
        </w:trPr>
        <w:tc>
          <w:tcPr>
            <w:tcW w:w="1140" w:type="dxa"/>
            <w:vAlign w:val="bottom"/>
          </w:tcPr>
          <w:p>
            <w:pPr>
              <w:spacing w:after="0"/>
              <w:rPr>
                <w:sz w:val="20"/>
                <w:szCs w:val="20"/>
                <w:color w:val="auto"/>
              </w:rPr>
            </w:pPr>
            <w:r>
              <w:rPr>
                <w:rFonts w:ascii="Arial" w:cs="Arial" w:eastAsia="Arial" w:hAnsi="Arial"/>
                <w:sz w:val="18"/>
                <w:szCs w:val="18"/>
                <w:color w:val="auto"/>
              </w:rPr>
              <w:t>10(a)*</w:t>
            </w:r>
          </w:p>
        </w:tc>
        <w:tc>
          <w:tcPr>
            <w:tcW w:w="57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Campbell Soup Company Fiscal 2018 Long-Term Incentive Program Brochure.</w:t>
              </w:r>
            </w:hyperlink>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10(b)*</w:t>
            </w:r>
          </w:p>
        </w:tc>
        <w:tc>
          <w:tcPr>
            <w:tcW w:w="2560" w:type="dxa"/>
            <w:vAlign w:val="bottom"/>
            <w:tcBorders>
              <w:bottom w:val="single" w:sz="8" w:color="0000FF"/>
            </w:tcBorders>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2018 Non-Employee Director Fees.</w:t>
              </w:r>
            </w:hyperlink>
          </w:p>
        </w:tc>
        <w:tc>
          <w:tcPr>
            <w:tcW w:w="3180" w:type="dxa"/>
            <w:vAlign w:val="bottom"/>
            <w:gridSpan w:val="5"/>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5740" w:type="dxa"/>
            <w:vAlign w:val="bottom"/>
            <w:gridSpan w:val="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Certification of Denise M. Morrison pursuant to Rule 13a-14(a).</w:t>
              </w:r>
            </w:hyperlink>
          </w:p>
        </w:tc>
      </w:tr>
      <w:tr>
        <w:trPr>
          <w:trHeight w:val="20"/>
        </w:trPr>
        <w:tc>
          <w:tcPr>
            <w:tcW w:w="114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5740" w:type="dxa"/>
            <w:vAlign w:val="bottom"/>
            <w:gridSpan w:val="6"/>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of Anthony P. DiSilvestro pursuant to Rule 13a-14(a).</w:t>
              </w:r>
            </w:hyperlink>
          </w:p>
        </w:tc>
      </w:tr>
      <w:tr>
        <w:trPr>
          <w:trHeight w:val="20"/>
        </w:trPr>
        <w:tc>
          <w:tcPr>
            <w:tcW w:w="114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32(a)</w:t>
            </w:r>
          </w:p>
        </w:tc>
        <w:tc>
          <w:tcPr>
            <w:tcW w:w="5740" w:type="dxa"/>
            <w:vAlign w:val="bottom"/>
            <w:gridSpan w:val="6"/>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Denise M. Morrison pursuant to 18 U.S.C. Section 1350.</w:t>
              </w:r>
            </w:hyperlink>
          </w:p>
        </w:tc>
      </w:tr>
      <w:tr>
        <w:trPr>
          <w:trHeight w:val="20"/>
        </w:trPr>
        <w:tc>
          <w:tcPr>
            <w:tcW w:w="1140" w:type="dxa"/>
            <w:vAlign w:val="bottom"/>
          </w:tcPr>
          <w:p>
            <w:pPr>
              <w:spacing w:after="0" w:line="20" w:lineRule="exact"/>
              <w:rPr>
                <w:sz w:val="1"/>
                <w:szCs w:val="1"/>
                <w:color w:val="auto"/>
              </w:rPr>
            </w:pPr>
          </w:p>
        </w:tc>
        <w:tc>
          <w:tcPr>
            <w:tcW w:w="52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32(b)</w:t>
            </w:r>
          </w:p>
        </w:tc>
        <w:tc>
          <w:tcPr>
            <w:tcW w:w="5740" w:type="dxa"/>
            <w:vAlign w:val="bottom"/>
            <w:gridSpan w:val="6"/>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Certification of Anthony P. DiSilvestro pursuant to 18 U.S.C. Section 1350.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300" w:type="dxa"/>
            <w:vAlign w:val="bottom"/>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574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574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574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5740" w:type="dxa"/>
            <w:vAlign w:val="bottom"/>
            <w:gridSpan w:val="6"/>
          </w:tcPr>
          <w:p>
            <w:pPr>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574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9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1310" w:right="1440"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December 8, 2017</w:t>
      </w:r>
    </w:p>
    <w:p>
      <w:pPr>
        <w:spacing w:after="0" w:line="16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9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29" w:right="319" w:bottom="1440"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32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10(b)</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CAMPBELL SOUP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Non-Employee Director Compensation for Calendar 2018</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and Committee Retainer for Calendar 2018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$119,000 shall be paid in cash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$129,000 shall be paid in shares of Campbell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Retainers for Chairman of the Board, Committee Chairs and Audit Committee Members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Board and Committee retainer, the following amounts shall be paid 50% in cash and 50% in shares of Campbell stock:</w:t>
      </w:r>
    </w:p>
    <w:p>
      <w:pPr>
        <w:spacing w:after="0" w:line="293" w:lineRule="exact"/>
        <w:rPr>
          <w:sz w:val="20"/>
          <w:szCs w:val="20"/>
          <w:color w:val="auto"/>
        </w:rPr>
      </w:pPr>
    </w:p>
    <w:tbl>
      <w:tblPr>
        <w:tblLayout w:type="fixed"/>
        <w:tblInd w:w="180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$350,000</w:t>
            </w:r>
          </w:p>
        </w:tc>
        <w:tc>
          <w:tcPr>
            <w:tcW w:w="5700" w:type="dxa"/>
            <w:vAlign w:val="bottom"/>
          </w:tcPr>
          <w:p>
            <w:pPr>
              <w:ind w:left="420"/>
              <w:spacing w:after="0"/>
              <w:rPr>
                <w:sz w:val="20"/>
                <w:szCs w:val="20"/>
                <w:color w:val="auto"/>
              </w:rPr>
            </w:pPr>
            <w:r>
              <w:rPr>
                <w:rFonts w:ascii="Arial" w:cs="Arial" w:eastAsia="Arial" w:hAnsi="Arial"/>
                <w:sz w:val="20"/>
                <w:szCs w:val="20"/>
                <w:color w:val="auto"/>
              </w:rPr>
              <w:t>Chairman of the Board</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$25,000</w:t>
            </w:r>
          </w:p>
        </w:tc>
        <w:tc>
          <w:tcPr>
            <w:tcW w:w="5700" w:type="dxa"/>
            <w:vAlign w:val="bottom"/>
          </w:tcPr>
          <w:p>
            <w:pPr>
              <w:ind w:left="420"/>
              <w:spacing w:after="0"/>
              <w:rPr>
                <w:sz w:val="20"/>
                <w:szCs w:val="20"/>
                <w:color w:val="auto"/>
              </w:rPr>
            </w:pPr>
            <w:r>
              <w:rPr>
                <w:rFonts w:ascii="Arial" w:cs="Arial" w:eastAsia="Arial" w:hAnsi="Arial"/>
                <w:sz w:val="20"/>
                <w:szCs w:val="20"/>
                <w:color w:val="auto"/>
              </w:rPr>
              <w:t>Audit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$20,000</w:t>
            </w:r>
          </w:p>
        </w:tc>
        <w:tc>
          <w:tcPr>
            <w:tcW w:w="5700" w:type="dxa"/>
            <w:vAlign w:val="bottom"/>
          </w:tcPr>
          <w:p>
            <w:pPr>
              <w:ind w:left="420"/>
              <w:spacing w:after="0"/>
              <w:rPr>
                <w:sz w:val="20"/>
                <w:szCs w:val="20"/>
                <w:color w:val="auto"/>
              </w:rPr>
            </w:pPr>
            <w:r>
              <w:rPr>
                <w:rFonts w:ascii="Arial" w:cs="Arial" w:eastAsia="Arial" w:hAnsi="Arial"/>
                <w:sz w:val="20"/>
                <w:szCs w:val="20"/>
                <w:color w:val="auto"/>
              </w:rPr>
              <w:t>Compensation and Organization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$15,000</w:t>
            </w:r>
          </w:p>
        </w:tc>
        <w:tc>
          <w:tcPr>
            <w:tcW w:w="5700" w:type="dxa"/>
            <w:vAlign w:val="bottom"/>
          </w:tcPr>
          <w:p>
            <w:pPr>
              <w:ind w:left="420"/>
              <w:spacing w:after="0"/>
              <w:rPr>
                <w:sz w:val="20"/>
                <w:szCs w:val="20"/>
                <w:color w:val="auto"/>
              </w:rPr>
            </w:pPr>
            <w:r>
              <w:rPr>
                <w:rFonts w:ascii="Arial" w:cs="Arial" w:eastAsia="Arial" w:hAnsi="Arial"/>
                <w:sz w:val="20"/>
                <w:szCs w:val="20"/>
                <w:color w:val="auto"/>
              </w:rPr>
              <w:t>Finance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$15,000</w:t>
            </w:r>
          </w:p>
        </w:tc>
        <w:tc>
          <w:tcPr>
            <w:tcW w:w="5700" w:type="dxa"/>
            <w:vAlign w:val="bottom"/>
          </w:tcPr>
          <w:p>
            <w:pPr>
              <w:ind w:left="420"/>
              <w:spacing w:after="0"/>
              <w:rPr>
                <w:sz w:val="20"/>
                <w:szCs w:val="20"/>
                <w:color w:val="auto"/>
              </w:rPr>
            </w:pPr>
            <w:r>
              <w:rPr>
                <w:rFonts w:ascii="Arial" w:cs="Arial" w:eastAsia="Arial" w:hAnsi="Arial"/>
                <w:sz w:val="20"/>
                <w:szCs w:val="20"/>
                <w:color w:val="auto"/>
              </w:rPr>
              <w:t>Governance Committee chairs</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$7,500</w:t>
            </w:r>
          </w:p>
        </w:tc>
        <w:tc>
          <w:tcPr>
            <w:tcW w:w="5700" w:type="dxa"/>
            <w:vAlign w:val="bottom"/>
          </w:tcPr>
          <w:p>
            <w:pPr>
              <w:ind w:left="420"/>
              <w:spacing w:after="0"/>
              <w:rPr>
                <w:sz w:val="20"/>
                <w:szCs w:val="20"/>
                <w:color w:val="auto"/>
              </w:rPr>
            </w:pPr>
            <w:r>
              <w:rPr>
                <w:rFonts w:ascii="Arial" w:cs="Arial" w:eastAsia="Arial" w:hAnsi="Arial"/>
                <w:sz w:val="20"/>
                <w:szCs w:val="20"/>
                <w:color w:val="auto"/>
                <w:w w:val="91"/>
              </w:rPr>
              <w:t>Audit Committee members (excluding the Audit Committee chair)</w:t>
            </w:r>
          </w:p>
        </w:tc>
      </w:tr>
    </w:tbl>
    <w:p>
      <w:pPr>
        <w:spacing w:after="0" w:line="114"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420"/>
          </w:cols>
          <w:pgMar w:left="2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2017</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4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29, 2017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8,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spacing w:after="0" w:line="2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29, 2017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8,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6"/>
    </w:lvl>
    <w:lvl w:ilvl="1">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8"/>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decimal"/>
      <w:start w:val="13"/>
    </w:lvl>
    <w:lvl w:ilvl="1">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2019-12-29T02:51:21Z</dcterms:created>
  <dcterms:modified xsi:type="dcterms:W3CDTF">2019-12-29T02:51:21Z</dcterms:modified>
</cp:coreProperties>
</file>