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 w:lineRule="exact"/>
        <w:rPr>
          <w:sz w:val="24"/>
          <w:szCs w:val="24"/>
          <w:color w:val="auto"/>
        </w:rPr>
      </w:pPr>
    </w:p>
    <w:p>
      <w:pPr>
        <w:ind w:left="4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Commission File Number</w:t>
      </w:r>
    </w:p>
    <w:p>
      <w:pPr>
        <w:spacing w:after="0" w:line="26" w:lineRule="exact"/>
        <w:rPr>
          <w:sz w:val="24"/>
          <w:szCs w:val="24"/>
          <w:color w:val="auto"/>
        </w:rPr>
      </w:pPr>
    </w:p>
    <w:p>
      <w:pPr>
        <w:ind w:left="1200"/>
        <w:spacing w:after="0"/>
        <w:tabs>
          <w:tab w:leader="none" w:pos="9320" w:val="left"/>
        </w:tabs>
        <w:rPr>
          <w:sz w:val="20"/>
          <w:szCs w:val="20"/>
          <w:color w:val="auto"/>
        </w:rPr>
      </w:pPr>
      <w:r>
        <w:rPr>
          <w:rFonts w:ascii="Times New Roman" w:cs="Times New Roman" w:eastAsia="Times New Roman" w:hAnsi="Times New Roman"/>
          <w:sz w:val="18"/>
          <w:szCs w:val="18"/>
          <w:b w:val="1"/>
          <w:bCs w:val="1"/>
          <w:color w:val="auto"/>
        </w:rPr>
        <w:t>May 1, 2022</w:t>
      </w:r>
      <w:r>
        <w:rPr>
          <w:sz w:val="20"/>
          <w:szCs w:val="20"/>
          <w:color w:val="auto"/>
        </w:rPr>
        <w:tab/>
      </w:r>
      <w:r>
        <w:rPr>
          <w:rFonts w:ascii="Times New Roman" w:cs="Times New Roman" w:eastAsia="Times New Roman" w:hAnsi="Times New Roman"/>
          <w:sz w:val="17"/>
          <w:szCs w:val="17"/>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69850</wp:posOffset>
            </wp:positionV>
            <wp:extent cx="1447165" cy="521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165" cy="521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CAMPBELL SOUP COMPANY</w:t>
      </w:r>
    </w:p>
    <w:p>
      <w:pPr>
        <w:spacing w:after="0" w:line="70" w:lineRule="exact"/>
        <w:rPr>
          <w:sz w:val="24"/>
          <w:szCs w:val="24"/>
          <w:color w:val="auto"/>
        </w:rPr>
      </w:pPr>
    </w:p>
    <w:p>
      <w:pPr>
        <w:ind w:left="244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New Jersey</w:t>
      </w:r>
      <w:r>
        <w:rPr>
          <w:sz w:val="20"/>
          <w:szCs w:val="20"/>
          <w:color w:val="auto"/>
        </w:rPr>
        <w:tab/>
      </w:r>
      <w:r>
        <w:rPr>
          <w:rFonts w:ascii="Times New Roman" w:cs="Times New Roman" w:eastAsia="Times New Roman" w:hAnsi="Times New Roman"/>
          <w:sz w:val="17"/>
          <w:szCs w:val="17"/>
          <w:b w:val="1"/>
          <w:bCs w:val="1"/>
          <w:color w:val="auto"/>
        </w:rPr>
        <w:t>21-0419870</w:t>
      </w:r>
    </w:p>
    <w:p>
      <w:pPr>
        <w:spacing w:after="0" w:line="26" w:lineRule="exact"/>
        <w:rPr>
          <w:sz w:val="24"/>
          <w:szCs w:val="24"/>
          <w:color w:val="auto"/>
        </w:rPr>
      </w:pPr>
    </w:p>
    <w:p>
      <w:pPr>
        <w:ind w:left="2080"/>
        <w:spacing w:after="0"/>
        <w:tabs>
          <w:tab w:leader="none" w:pos="7140" w:val="left"/>
        </w:tabs>
        <w:rPr>
          <w:sz w:val="20"/>
          <w:szCs w:val="20"/>
          <w:color w:val="auto"/>
        </w:rPr>
      </w:pPr>
      <w:r>
        <w:rPr>
          <w:rFonts w:ascii="Times New Roman" w:cs="Times New Roman" w:eastAsia="Times New Roman" w:hAnsi="Times New Roman"/>
          <w:sz w:val="18"/>
          <w:szCs w:val="18"/>
          <w:i w:val="1"/>
          <w:iCs w:val="1"/>
          <w:color w:val="auto"/>
        </w:rPr>
        <w:t>State of Incorporation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Campbell Place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Camden, New Jersey 08103-1799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Offices</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(856) 342-4800</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5" w:lineRule="exact"/>
        <w:rPr>
          <w:sz w:val="24"/>
          <w:szCs w:val="24"/>
          <w:color w:val="auto"/>
        </w:rPr>
      </w:pPr>
    </w:p>
    <w:p>
      <w:pPr>
        <w:ind w:left="1560"/>
        <w:spacing w:after="0"/>
        <w:tabs>
          <w:tab w:leader="none" w:pos="4980" w:val="left"/>
          <w:tab w:leader="none" w:pos="722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6" w:lineRule="exact"/>
        <w:rPr>
          <w:sz w:val="24"/>
          <w:szCs w:val="24"/>
          <w:color w:val="auto"/>
        </w:rPr>
      </w:pPr>
    </w:p>
    <w:p>
      <w:pPr>
        <w:ind w:left="1140"/>
        <w:spacing w:after="0"/>
        <w:tabs>
          <w:tab w:leader="none" w:pos="5420" w:val="left"/>
          <w:tab w:leader="none" w:pos="8000" w:val="left"/>
        </w:tabs>
        <w:rPr>
          <w:sz w:val="20"/>
          <w:szCs w:val="20"/>
          <w:color w:val="auto"/>
        </w:rPr>
      </w:pPr>
      <w:r>
        <w:rPr>
          <w:rFonts w:ascii="Times New Roman" w:cs="Times New Roman" w:eastAsia="Times New Roman" w:hAnsi="Times New Roman"/>
          <w:sz w:val="18"/>
          <w:szCs w:val="18"/>
          <w:color w:val="auto"/>
        </w:rPr>
        <w:t>Capital Stock, par value $.0375</w:t>
      </w:r>
      <w:r>
        <w:rPr>
          <w:sz w:val="20"/>
          <w:szCs w:val="20"/>
          <w:color w:val="auto"/>
        </w:rPr>
        <w:tab/>
      </w:r>
      <w:r>
        <w:rPr>
          <w:rFonts w:ascii="Times New Roman" w:cs="Times New Roman" w:eastAsia="Times New Roman" w:hAnsi="Times New Roman"/>
          <w:sz w:val="18"/>
          <w:szCs w:val="18"/>
          <w:color w:val="auto"/>
        </w:rPr>
        <w:t>CPB</w:t>
      </w:r>
      <w:r>
        <w:rPr>
          <w:sz w:val="20"/>
          <w:szCs w:val="20"/>
          <w:color w:val="auto"/>
        </w:rPr>
        <w:tab/>
      </w:r>
      <w:r>
        <w:rPr>
          <w:rFonts w:ascii="Times New Roman" w:cs="Times New Roman" w:eastAsia="Times New Roman" w:hAnsi="Times New Roman"/>
          <w:sz w:val="17"/>
          <w:szCs w:val="17"/>
          <w:color w:val="auto"/>
        </w:rPr>
        <w:t>New York Stock Exchange</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46" w:lineRule="exact"/>
        <w:rPr>
          <w:sz w:val="24"/>
          <w:szCs w:val="24"/>
          <w:color w:val="auto"/>
        </w:rPr>
      </w:pPr>
    </w:p>
    <w:p>
      <w:pPr>
        <w:jc w:val="both"/>
        <w:ind w:firstLine="318"/>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18"/>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13" w:right="339" w:bottom="1440" w:gutter="0" w:footer="0" w:header="0"/>
        </w:sectPr>
      </w:pPr>
    </w:p>
    <w:p>
      <w:pPr>
        <w:spacing w:after="0" w:line="15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4"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18"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55" w:lineRule="exact"/>
        <w:tabs>
          <w:tab w:leader="none" w:pos="1720" w:val="left"/>
          <w:tab w:leader="none" w:pos="4220" w:val="left"/>
        </w:tabs>
        <w:rPr>
          <w:sz w:val="20"/>
          <w:szCs w:val="20"/>
          <w:color w:val="auto"/>
        </w:rPr>
      </w:pPr>
      <w:r>
        <w:rPr>
          <w:rFonts w:ascii="MS PGothic" w:cs="MS PGothic" w:eastAsia="MS PGothic" w:hAnsi="MS PGothic"/>
          <w:sz w:val="35"/>
          <w:szCs w:val="35"/>
          <w:color w:val="auto"/>
          <w:vertAlign w:val="superscript"/>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5"/>
          <w:szCs w:val="15"/>
          <w:color w:val="auto"/>
        </w:rPr>
        <w:t>☐</w:t>
      </w:r>
    </w:p>
    <w:p>
      <w:pPr>
        <w:spacing w:after="0" w:line="116" w:lineRule="exact"/>
        <w:rPr>
          <w:sz w:val="24"/>
          <w:szCs w:val="24"/>
          <w:color w:val="auto"/>
        </w:rPr>
      </w:pPr>
    </w:p>
    <w:p>
      <w:pPr>
        <w:spacing w:after="0" w:line="207" w:lineRule="exact"/>
        <w:tabs>
          <w:tab w:leader="none" w:pos="1720" w:val="left"/>
          <w:tab w:leader="none" w:pos="42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5"/>
          <w:szCs w:val="15"/>
          <w:color w:val="auto"/>
        </w:rPr>
        <w:t>☐</w:t>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3740" w:space="720"/>
            <w:col w:w="6780"/>
          </w:cols>
          <w:pgMar w:left="320" w:top="1013" w:right="339" w:bottom="1440" w:gutter="0" w:footer="0" w:header="0"/>
          <w:type w:val="continuous"/>
        </w:sectPr>
      </w:pPr>
    </w:p>
    <w:p>
      <w:pPr>
        <w:spacing w:after="0" w:line="195" w:lineRule="exact"/>
        <w:rPr>
          <w:sz w:val="24"/>
          <w:szCs w:val="24"/>
          <w:color w:val="auto"/>
        </w:rPr>
      </w:pPr>
    </w:p>
    <w:p>
      <w:pPr>
        <w:ind w:firstLine="318"/>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79" w:lineRule="exact"/>
        <w:rPr>
          <w:sz w:val="24"/>
          <w:szCs w:val="24"/>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There were 300,575,616 shares of capital stock outstanding as of June 1, 2022.</w:t>
      </w:r>
    </w:p>
    <w:p>
      <w:pPr>
        <w:sectPr>
          <w:pgSz w:w="11900" w:h="16838" w:orient="portrait"/>
          <w:cols w:equalWidth="0" w:num="1">
            <w:col w:w="11240"/>
          </w:cols>
          <w:pgMar w:left="320" w:top="1013" w:right="33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Borders>
              <w:top w:val="single" w:sz="8" w:color="0000FF"/>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1A. Risk Factors</w:t>
            </w:r>
          </w:p>
        </w:tc>
        <w:tc>
          <w:tcPr>
            <w:tcW w:w="280" w:type="dxa"/>
            <w:vAlign w:val="bottom"/>
            <w:tcBorders>
              <w:top w:val="single" w:sz="8" w:color="0000FF"/>
            </w:tcBorders>
            <w:gridSpan w:val="2"/>
          </w:tcPr>
          <w:p>
            <w:pPr>
              <w:spacing w:after="0"/>
              <w:rPr>
                <w:sz w:val="17"/>
                <w:szCs w:val="17"/>
                <w:color w:val="auto"/>
              </w:rPr>
            </w:pP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35</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7"/>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36</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37</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7"/>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225"/>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4"/>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303</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5"/>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9"/>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Campbell Soup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120" w:type="dxa"/>
            <w:vAlign w:val="bottom"/>
          </w:tcPr>
          <w:p>
            <w:pPr>
              <w:spacing w:after="0"/>
              <w:rPr>
                <w:sz w:val="11"/>
                <w:szCs w:val="11"/>
                <w:color w:val="auto"/>
              </w:rPr>
            </w:pP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5"/>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68"/>
        </w:trPr>
        <w:tc>
          <w:tcPr>
            <w:tcW w:w="5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120" w:type="dxa"/>
            <w:vAlign w:val="bottom"/>
          </w:tcPr>
          <w:p>
            <w:pPr>
              <w:spacing w:after="0"/>
              <w:rPr>
                <w:sz w:val="11"/>
                <w:szCs w:val="11"/>
                <w:color w:val="auto"/>
              </w:rPr>
            </w:pP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6"/>
                <w:szCs w:val="16"/>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7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Campbell Soup Company</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664</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40" w:type="dxa"/>
            <w:vAlign w:val="bottom"/>
          </w:tcPr>
          <w:p>
            <w:pPr>
              <w:spacing w:after="0"/>
              <w:rPr>
                <w:sz w:val="16"/>
                <w:szCs w:val="16"/>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4"/>
        </w:trPr>
        <w:tc>
          <w:tcPr>
            <w:tcW w:w="68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5"/>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511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5"/>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1,044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25"/>
        </w:trPr>
        <w:tc>
          <w:tcPr>
            <w:tcW w:w="6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101</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9"/>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1,852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2,313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3,978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3,208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25"/>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r>
      <w:tr>
        <w:trPr>
          <w:trHeight w:val="20"/>
        </w:trPr>
        <w:tc>
          <w:tcPr>
            <w:tcW w:w="68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5"/>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 to suppliers and others</w:t>
            </w:r>
          </w:p>
        </w:tc>
        <w:tc>
          <w:tcPr>
            <w:tcW w:w="16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1,286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5"/>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5"/>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5"/>
        </w:trPr>
        <w:tc>
          <w:tcPr>
            <w:tcW w:w="6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2,699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3,998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1,094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25"/>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661</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18"/>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8,452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Campbell Soup Company shareholders' equity</w:t>
            </w:r>
          </w:p>
        </w:tc>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$0.0375 par value; authorized 560 shares; issued 323 shares</w:t>
            </w:r>
          </w:p>
        </w:tc>
        <w:tc>
          <w:tcPr>
            <w:tcW w:w="16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5"/>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4,059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25"/>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5"/>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Campbell Soup Company shareholders' equity</w:t>
            </w:r>
          </w:p>
        </w:tc>
        <w:tc>
          <w:tcPr>
            <w:tcW w:w="1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3,393</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18"/>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3,395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18"/>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11,847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w:t>
            </w: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
        </w:trPr>
        <w:tc>
          <w:tcPr>
            <w:tcW w:w="8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Pr>
          <w:p>
            <w:pPr>
              <w:spacing w:after="0"/>
              <w:rPr>
                <w:sz w:val="16"/>
                <w:szCs w:val="16"/>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income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assets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issuances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extinguishment of debt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19"/>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19"/>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7"/>
                <w:szCs w:val="7"/>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109"/>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880" w:type="dxa"/>
            <w:vAlign w:val="bottom"/>
          </w:tcPr>
          <w:p>
            <w:pPr>
              <w:jc w:val="center"/>
              <w:ind w:right="69"/>
              <w:spacing w:after="0" w:line="12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7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60" w:type="dxa"/>
            <w:vAlign w:val="bottom"/>
          </w:tcPr>
          <w:p>
            <w:pPr>
              <w:jc w:val="right"/>
              <w:ind w:right="209"/>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2"/>
                <w:szCs w:val="12"/>
                <w:color w:val="auto"/>
              </w:rPr>
            </w:pPr>
          </w:p>
        </w:tc>
        <w:tc>
          <w:tcPr>
            <w:tcW w:w="116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1140" w:type="dxa"/>
            <w:vAlign w:val="bottom"/>
          </w:tcPr>
          <w:p>
            <w:pPr>
              <w:jc w:val="right"/>
              <w:ind w:right="129"/>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2"/>
                <w:szCs w:val="12"/>
                <w:color w:val="auto"/>
              </w:rPr>
            </w:pPr>
          </w:p>
        </w:tc>
        <w:tc>
          <w:tcPr>
            <w:tcW w:w="820" w:type="dxa"/>
            <w:vAlign w:val="bottom"/>
          </w:tcPr>
          <w:p>
            <w:pPr>
              <w:jc w:val="right"/>
              <w:ind w:right="289"/>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31,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160</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May 2,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2, 2020</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($1.09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May 2,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30,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(112)</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2"/>
                <w:szCs w:val="12"/>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w:t>
            </w:r>
          </w:p>
        </w:tc>
        <w:tc>
          <w:tcPr>
            <w:tcW w:w="160" w:type="dxa"/>
            <w:vAlign w:val="bottom"/>
          </w:tcPr>
          <w:p>
            <w:pPr>
              <w:spacing w:after="0"/>
              <w:rPr>
                <w:sz w:val="12"/>
                <w:szCs w:val="12"/>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1, 2021</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661</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661</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($1.11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(336)</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6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1, 2022</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Campbell Soup Company and its consolidated subsidiaries.</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August 1, 2021. Certain amounts in prior-year financial statements were reclassified to conform to the current-year presentation.</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July 31, 2022.</w:t>
      </w:r>
    </w:p>
    <w:p>
      <w:pPr>
        <w:spacing w:after="0" w:line="135" w:lineRule="exact"/>
        <w:rPr>
          <w:sz w:val="20"/>
          <w:szCs w:val="20"/>
          <w:color w:val="auto"/>
        </w:rPr>
      </w:pPr>
    </w:p>
    <w:p>
      <w:pPr>
        <w:ind w:left="320" w:right="8320" w:hanging="314"/>
        <w:spacing w:after="0" w:line="367" w:lineRule="auto"/>
        <w:tabs>
          <w:tab w:leader="none" w:pos="179"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u w:val="single" w:color="auto"/>
          <w:color w:val="auto"/>
        </w:rPr>
        <w:t>Recently Adopted</w:t>
      </w: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guidance on simplifying the accounting for income taxes. The guidance removes certain exceptions to the general principles of accounting for income taxes and also improves consistent application of accounting by clarifying or amending existing guidance. We adopted the guidance in the first quarter of 2022. The adoption did not have an impact on our consolidated financial statements.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Pronouncements Not Yet Adopted</w:t>
      </w:r>
    </w:p>
    <w:p>
      <w:pPr>
        <w:spacing w:after="0" w:line="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600" w:type="dxa"/>
            <w:vAlign w:val="bottom"/>
          </w:tcPr>
          <w:p>
            <w:pPr>
              <w:jc w:val="center"/>
              <w:ind w:left="2049"/>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5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3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44"/>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0" w:type="dxa"/>
            <w:vAlign w:val="bottom"/>
          </w:tcPr>
          <w:p>
            <w:pPr>
              <w:jc w:val="center"/>
              <w:ind w:left="2069"/>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6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300" w:type="dxa"/>
            <w:vAlign w:val="bottom"/>
          </w:tcPr>
          <w:p>
            <w:pPr>
              <w:jc w:val="center"/>
              <w:ind w:left="89"/>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9"/>
        </w:trPr>
        <w:tc>
          <w:tcPr>
            <w:tcW w:w="2940" w:type="dxa"/>
            <w:vAlign w:val="bottom"/>
            <w:vMerge w:val="continue"/>
          </w:tcPr>
          <w:p>
            <w:pPr>
              <w:spacing w:after="0"/>
              <w:rPr>
                <w:sz w:val="17"/>
                <w:szCs w:val="17"/>
                <w:color w:val="auto"/>
              </w:rPr>
            </w:pPr>
          </w:p>
        </w:tc>
        <w:tc>
          <w:tcPr>
            <w:tcW w:w="3600" w:type="dxa"/>
            <w:vAlign w:val="bottom"/>
          </w:tcPr>
          <w:p>
            <w:pPr>
              <w:jc w:val="center"/>
              <w:ind w:left="2069"/>
              <w:spacing w:after="0" w:line="199" w:lineRule="exact"/>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60" w:type="dxa"/>
            <w:vAlign w:val="bottom"/>
            <w:vMerge w:val="continue"/>
          </w:tcPr>
          <w:p>
            <w:pPr>
              <w:spacing w:after="0"/>
              <w:rPr>
                <w:sz w:val="17"/>
                <w:szCs w:val="17"/>
                <w:color w:val="auto"/>
              </w:rPr>
            </w:pPr>
          </w:p>
        </w:tc>
        <w:tc>
          <w:tcPr>
            <w:tcW w:w="1620" w:type="dxa"/>
            <w:vAlign w:val="bottom"/>
          </w:tcPr>
          <w:p>
            <w:pPr>
              <w:jc w:val="center"/>
              <w:spacing w:after="0" w:line="199" w:lineRule="exact"/>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3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01205" cy="151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1205" cy="15176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8"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auto"/>
        </w:rPr>
        <w:t>Balance at August 2, 2020</w:t>
      </w:r>
      <w:r>
        <w:rPr>
          <w:sz w:val="20"/>
          <w:szCs w:val="20"/>
          <w:color w:val="auto"/>
        </w:rPr>
        <w:tab/>
      </w:r>
      <w:r>
        <w:rPr>
          <w:rFonts w:ascii="Times New Roman" w:cs="Times New Roman" w:eastAsia="Times New Roman" w:hAnsi="Times New Roman"/>
          <w:sz w:val="18"/>
          <w:szCs w:val="18"/>
          <w:color w:val="auto"/>
        </w:rPr>
        <w: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Losses (gains) reclassified from accumulated other comprehensive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01205" cy="260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1205" cy="26098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4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3"/>
              </w:rPr>
              <w:t>(10)</w:t>
            </w: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5"/>
              </w:rPr>
              <w:t>(7)</w:t>
            </w: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4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18</w:t>
            </w:r>
          </w:p>
        </w:tc>
        <w:tc>
          <w:tcPr>
            <w:tcW w:w="640" w:type="dxa"/>
            <w:vAlign w:val="bottom"/>
          </w:tcPr>
          <w:p>
            <w:pPr>
              <w:spacing w:after="0"/>
              <w:rPr>
                <w:sz w:val="19"/>
                <w:szCs w:val="19"/>
                <w:color w:val="auto"/>
              </w:rPr>
            </w:pPr>
          </w:p>
        </w:tc>
        <w:tc>
          <w:tcPr>
            <w:tcW w:w="7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5"/>
              </w:rPr>
              <w:t>(8)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05"/>
        </w:trPr>
        <w:tc>
          <w:tcPr>
            <w:tcW w:w="4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24"/>
                <w:szCs w:val="24"/>
                <w:color w:val="auto"/>
              </w:rPr>
            </w:pPr>
          </w:p>
        </w:tc>
        <w:tc>
          <w:tcPr>
            <w:tcW w:w="78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-411480</wp:posOffset>
            </wp:positionV>
            <wp:extent cx="916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20" w:space="720"/>
            <w:col w:w="5000"/>
          </w:cols>
          <w:pgMar w:left="320" w:top="874"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2, 2021</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1, 2021</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3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May 1, 2022</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4" w:lineRule="exact"/>
        <w:rPr>
          <w:sz w:val="20"/>
          <w:szCs w:val="20"/>
          <w:color w:val="auto"/>
        </w:rPr>
      </w:pPr>
    </w:p>
    <w:p>
      <w:pPr>
        <w:ind w:left="320" w:hanging="314"/>
        <w:spacing w:after="0"/>
        <w:tabs>
          <w:tab w:leader="none" w:pos="3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May 1, 2022, August 1, 2021, May 2, 2021 and August 2, 2020.</w:t>
      </w:r>
    </w:p>
    <w:p>
      <w:pPr>
        <w:ind w:left="320" w:right="60" w:hanging="314"/>
        <w:spacing w:after="0" w:line="215" w:lineRule="auto"/>
        <w:tabs>
          <w:tab w:leader="none" w:pos="308"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$2 million as of May 1, 2022, a tax benefit of $1 million as of August 1, 2021, $2 million as of May 2, 2021, and $1 million as of August 2, 2020.</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201" w:lineRule="auto"/>
        <w:tabs>
          <w:tab w:leader="none" w:pos="3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$1 million as of May 1, 2022, August 1, 2021 and May 2, 2021, and $2 million as of August 2, 2020.</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Amounts related to noncontrolling interests were not material.</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28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6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Pr>
          <w:p>
            <w:pPr>
              <w:spacing w:after="0"/>
              <w:rPr>
                <w:sz w:val="9"/>
                <w:szCs w:val="9"/>
                <w:color w:val="auto"/>
              </w:rPr>
            </w:pPr>
          </w:p>
        </w:tc>
        <w:tc>
          <w:tcPr>
            <w:tcW w:w="10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0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19"/>
        </w:trPr>
        <w:tc>
          <w:tcPr>
            <w:tcW w:w="3680" w:type="dxa"/>
            <w:vAlign w:val="bottom"/>
            <w:tcBorders>
              <w:top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Total before tax</w:t>
            </w: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Tax expense (benefit)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80" w:type="dxa"/>
            <w:vAlign w:val="bottom"/>
            <w:tcBorders>
              <w:top w:val="single" w:sz="8" w:color="CCEEFF"/>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Loss (gain), net of tax</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service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(4)  Other expenses / (income)</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Tax expense (benefit)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Loss (gain), net of tax</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8700" w:firstLine="6"/>
        <w:spacing w:after="0" w:line="354" w:lineRule="auto"/>
        <w:tabs>
          <w:tab w:leader="none" w:pos="17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 by business segment: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70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August 1, 2021</w:t>
            </w: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25"/>
        </w:trPr>
        <w:tc>
          <w:tcPr>
            <w:tcW w:w="70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Amounts reclassified due to segment change</w:t>
            </w:r>
            <w:r>
              <w:rPr>
                <w:rFonts w:ascii="Times New Roman" w:cs="Times New Roman" w:eastAsia="Times New Roman" w:hAnsi="Times New Roman"/>
                <w:sz w:val="22"/>
                <w:szCs w:val="22"/>
                <w:b w:val="1"/>
                <w:bCs w:val="1"/>
                <w:color w:val="auto"/>
                <w:vertAlign w:val="superscript"/>
              </w:rPr>
              <w:t>(1)</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May 1, 2022</w:t>
            </w:r>
          </w:p>
        </w:tc>
        <w:tc>
          <w:tcPr>
            <w:tcW w:w="5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3,978</w:t>
            </w:r>
          </w:p>
        </w:tc>
      </w:tr>
      <w:tr>
        <w:trPr>
          <w:trHeight w:val="20"/>
        </w:trPr>
        <w:tc>
          <w:tcPr>
            <w:tcW w:w="7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65" w:lineRule="exact"/>
        <w:rPr>
          <w:sz w:val="20"/>
          <w:szCs w:val="20"/>
          <w:color w:val="auto"/>
        </w:rPr>
      </w:pPr>
    </w:p>
    <w:p>
      <w:pPr>
        <w:ind w:left="320" w:hanging="314"/>
        <w:spacing w:after="0"/>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5 for additional information.</w:t>
      </w:r>
    </w:p>
    <w:p>
      <w:pPr>
        <w:spacing w:after="0" w:line="67"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Intangible Assets</w:t>
      </w:r>
    </w:p>
    <w:p>
      <w:pPr>
        <w:spacing w:after="0" w:line="9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 subject to amortization and intangible assets not subject to amortization: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0"/>
                <w:szCs w:val="10"/>
                <w:color w:val="auto"/>
              </w:rPr>
            </w:pPr>
          </w:p>
        </w:tc>
        <w:tc>
          <w:tcPr>
            <w:tcW w:w="8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112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0"/>
                <w:szCs w:val="10"/>
                <w:color w:val="auto"/>
              </w:rPr>
            </w:pPr>
          </w:p>
        </w:tc>
        <w:tc>
          <w:tcPr>
            <w:tcW w:w="8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Non-amortizable intangible assets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60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color w:val="auto"/>
        </w:rPr>
        <w:t>The carrying values of trademarks as of May 1, 2022 and August 1, 2021 are detailed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
        </w:trPr>
        <w:tc>
          <w:tcPr>
            <w:tcW w:w="10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5"/>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5"/>
        </w:trPr>
        <w:tc>
          <w:tcPr>
            <w:tcW w:w="10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5"/>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5"/>
        </w:trPr>
        <w:tc>
          <w:tcPr>
            <w:tcW w:w="101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Various Other</w:t>
            </w:r>
            <w:r>
              <w:rPr>
                <w:rFonts w:ascii="Times New Roman" w:cs="Times New Roman" w:eastAsia="Times New Roman" w:hAnsi="Times New Roman"/>
                <w:sz w:val="22"/>
                <w:szCs w:val="22"/>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18"/>
        </w:trPr>
        <w:tc>
          <w:tcPr>
            <w:tcW w:w="10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0"/>
        </w:trPr>
        <w:tc>
          <w:tcPr>
            <w:tcW w:w="10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65" w:lineRule="exact"/>
        <w:rPr>
          <w:sz w:val="20"/>
          <w:szCs w:val="20"/>
          <w:color w:val="auto"/>
        </w:rPr>
      </w:pPr>
    </w:p>
    <w:p>
      <w:pPr>
        <w:ind w:left="320" w:hanging="314"/>
        <w:spacing w:after="0"/>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Associated with the acquisition of Snyder's-Lance, Inc. (Snyder's-Lance).</w:t>
      </w:r>
    </w:p>
    <w:p>
      <w:pPr>
        <w:spacing w:after="0" w:line="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Amortization of intangible assets was $31 million for both the nine-month periods ended May 1, 2022 and May 2, 2021. As of May 1, 2022, amortizable intangible assets had a weighted-average remaining useful life of 17 years. Amortization expense for the next 5 years is estimated to be approximately $41 million per year.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98" w:lineRule="exact"/>
        <w:rPr>
          <w:sz w:val="20"/>
          <w:szCs w:val="20"/>
          <w:color w:val="auto"/>
        </w:rPr>
      </w:pPr>
    </w:p>
    <w:p>
      <w:pPr>
        <w:jc w:val="both"/>
        <w:ind w:left="640" w:hanging="316"/>
        <w:spacing w:after="0" w:line="25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pasta,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and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The segment also includes snacking products in foodservice and Canada. The segment included our Plum baby food and snacks business, which was sold on May 3, 2021; and</w:t>
      </w:r>
    </w:p>
    <w:p>
      <w:pPr>
        <w:spacing w:after="0" w:line="64"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w:t>
      </w:r>
      <w:r>
        <w:rPr>
          <w:rFonts w:ascii="Times New Roman" w:cs="Times New Roman" w:eastAsia="Times New Roman" w:hAnsi="Times New Roman"/>
          <w:sz w:val="18"/>
          <w:szCs w:val="18"/>
          <w:i w:val="1"/>
          <w:iCs w:val="1"/>
          <w:color w:val="auto"/>
        </w:rPr>
        <w:t>*, Kettle Brand</w:t>
      </w:r>
      <w:r>
        <w:rPr>
          <w:rFonts w:ascii="Times New Roman" w:cs="Times New Roman" w:eastAsia="Times New Roman" w:hAnsi="Times New Roman"/>
          <w:sz w:val="18"/>
          <w:szCs w:val="18"/>
          <w:color w:val="auto"/>
        </w:rPr>
        <w:t xml:space="preserve"> potato chips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w:t>
      </w:r>
      <w:r>
        <w:rPr>
          <w:rFonts w:ascii="Times New Roman" w:cs="Times New Roman" w:eastAsia="Times New Roman" w:hAnsi="Times New Roman"/>
          <w:sz w:val="18"/>
          <w:szCs w:val="18"/>
          <w:i w:val="1"/>
          <w:iCs w:val="1"/>
          <w:color w:val="auto"/>
        </w:rPr>
        <w:t>*, Pop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Secret </w:t>
      </w:r>
      <w:r>
        <w:rPr>
          <w:rFonts w:ascii="Times New Roman" w:cs="Times New Roman" w:eastAsia="Times New Roman" w:hAnsi="Times New Roman"/>
          <w:sz w:val="18"/>
          <w:szCs w:val="18"/>
          <w:color w:val="auto"/>
        </w:rPr>
        <w:t>popcorn,</w:t>
      </w:r>
      <w:r>
        <w:rPr>
          <w:rFonts w:ascii="Times New Roman" w:cs="Times New Roman" w:eastAsia="Times New Roman" w:hAnsi="Times New Roman"/>
          <w:sz w:val="18"/>
          <w:szCs w:val="18"/>
          <w:i w:val="1"/>
          <w:iCs w:val="1"/>
          <w:color w:val="auto"/>
        </w:rPr>
        <w:t xml:space="preserve"> Emerald </w:t>
      </w:r>
      <w:r>
        <w:rPr>
          <w:rFonts w:ascii="Times New Roman" w:cs="Times New Roman" w:eastAsia="Times New Roman" w:hAnsi="Times New Roman"/>
          <w:sz w:val="18"/>
          <w:szCs w:val="18"/>
          <w:color w:val="auto"/>
        </w:rPr>
        <w:t>nuts, and other snacking products in retail in the U.S. The segment also includes the retail business in Latin America.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we now refer to the * brands as our "power brands."</w:t>
      </w:r>
    </w:p>
    <w:p>
      <w:pPr>
        <w:spacing w:after="0" w:line="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Beginning in 2022, the foodservice and Canadian business formerly included in our Snacks segment is now managed as part of the Meals &amp; Beverages segment. Segment results have been adjusted retrospectively to reflect this change.</w:t>
      </w:r>
    </w:p>
    <w:p>
      <w:pPr>
        <w:spacing w:after="0" w:line="4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and impairment charges.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1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2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2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3540" w:type="dxa"/>
            <w:vAlign w:val="bottom"/>
          </w:tcPr>
          <w:p>
            <w:pPr>
              <w:spacing w:after="0"/>
              <w:rPr>
                <w:sz w:val="24"/>
                <w:szCs w:val="24"/>
                <w:color w:val="auto"/>
              </w:rPr>
            </w:pPr>
          </w:p>
        </w:tc>
        <w:tc>
          <w:tcPr>
            <w:tcW w:w="2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38"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There were pension actuarial losses of $16 million and $12 million in the three- and nine-month periods ended May 1, 2022, and pension actuarial gains of $4 million and $38 million in the three- and nine-month periods ended May 2, 2021, respectively. Costs related to the cost savings initiatives were $6 million and $15 million in the three- and nine-month periods ended May 1, 2022, and $13 million and $22 million in the three- and nine-month periods ended May 2, 2021, respectively. Unrealized mark-to-market adjustments on outstanding undesignated commodity hedges were losses of $5 million and $8 million in the three- and nine-month periods ended May 1, 2022, and gains of $22 million and $39 million in the three-and nine-month periods ended May 2, 2021, respectively.</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for additional information.</w:t>
      </w:r>
    </w:p>
    <w:p>
      <w:pPr>
        <w:spacing w:after="0" w:line="67"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net sales based on product categories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 and stock products. Snacks include cookies, pretzels, crackers, popcorn, nuts, potato chips, tortilla chips and other salty snacks and baked products. Other simple meals include sauces, gravies, pasta, beans, canned poultry, and Plum products through May 3, 2021, when the business was sold.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non-dairy beverages.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 Charges and Cost Savings Initiatives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including closing our manufacturing facility in Toronto, Ontario,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Cost estimates for these expanded initiatives, as well as timing for certain activities, are continuing to be developed.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Earnings from continuing operations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56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 May 1,</w:t>
            </w:r>
          </w:p>
        </w:tc>
        <w:tc>
          <w:tcPr>
            <w:tcW w:w="0" w:type="dxa"/>
            <w:vAlign w:val="bottom"/>
          </w:tcPr>
          <w:p>
            <w:pPr>
              <w:spacing w:after="0"/>
              <w:rPr>
                <w:sz w:val="1"/>
                <w:szCs w:val="1"/>
                <w:color w:val="auto"/>
              </w:rPr>
            </w:pPr>
          </w:p>
        </w:tc>
      </w:tr>
      <w:tr>
        <w:trPr>
          <w:trHeight w:val="114"/>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9"/>
                <w:szCs w:val="9"/>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200" w:type="dxa"/>
            <w:vAlign w:val="bottom"/>
          </w:tcPr>
          <w:p>
            <w:pPr>
              <w:spacing w:after="0"/>
              <w:rPr>
                <w:sz w:val="9"/>
                <w:szCs w:val="9"/>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80" w:type="dxa"/>
            <w:vAlign w:val="bottom"/>
          </w:tcPr>
          <w:p>
            <w:pPr>
              <w:spacing w:after="0"/>
              <w:rPr>
                <w:sz w:val="9"/>
                <w:szCs w:val="9"/>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6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4"/>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48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w w:val="98"/>
              </w:rPr>
              <w:t>A summary of the pre-tax costs in Earnings from continuing operations associated with the initiatives is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 May 1,</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associated with continuing operations that have been identified are approximately $725 million to $735 million and we expect to incur substantially all of the costs through 2022. These estimates will be updated as the expanded initiatives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associated with continuing operations that have been identified to date to consist of the following: approximately $225 million in severance pay and benefits; approximately $85 million in asset impairment and accelerated depreciation; and approximately $415 million to $425 million in implementation costs and other related costs. We expect these pre-tax costs to be associated with our segments as follows: Meals &amp; Beverages - approximately 31%; Snacks - approximately 43%; and Corporate - approximately 26%.</w:t>
      </w:r>
    </w:p>
    <w:p>
      <w:pPr>
        <w:spacing w:after="0" w:line="4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Of the aggregate $725 million to $735 million of pre-tax costs associated with continuing operations identified to date, we expect approximately $625 million to $635 million will be cash expenditures. In addition, we expect to invest approximately $440 million in capital expenditures, of which we invested $433 million as of May 1, 2022. We expect to invest in substantially all of the capital expenditures through 2022.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associated with continuing operations at May 1, 2022, is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Accrued balance at August 1, 2021</w:t>
      </w:r>
      <w:r>
        <w:rPr>
          <w:rFonts w:ascii="Times New Roman" w:cs="Times New Roman" w:eastAsia="Times New Roman" w:hAnsi="Times New Roman"/>
          <w:sz w:val="21"/>
          <w:szCs w:val="21"/>
          <w:color w:val="auto"/>
          <w:vertAlign w:val="superscript"/>
        </w:rPr>
        <w:t>(1)</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2022 charges</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2022 cash payments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Accrued balance at May 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6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Severance Pay</w:t>
            </w:r>
          </w:p>
        </w:tc>
        <w:tc>
          <w:tcPr>
            <w:tcW w:w="13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60" w:type="dxa"/>
            <w:vAlign w:val="bottom"/>
            <w:vMerge w:val="continue"/>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w w:val="96"/>
              </w:rPr>
              <w:t>Total Charges</w:t>
            </w:r>
          </w:p>
        </w:tc>
        <w:tc>
          <w:tcPr>
            <w:tcW w:w="0" w:type="dxa"/>
            <w:vAlign w:val="bottom"/>
          </w:tcPr>
          <w:p>
            <w:pPr>
              <w:spacing w:after="0"/>
              <w:rPr>
                <w:sz w:val="1"/>
                <w:szCs w:val="1"/>
                <w:color w:val="auto"/>
              </w:rPr>
            </w:pPr>
          </w:p>
        </w:tc>
      </w:tr>
      <w:tr>
        <w:trPr>
          <w:trHeight w:val="227"/>
        </w:trPr>
        <w:tc>
          <w:tcPr>
            <w:tcW w:w="10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and Benefits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(2)</w:t>
            </w: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-17145</wp:posOffset>
            </wp:positionV>
            <wp:extent cx="7134860" cy="151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900" w:hanging="891"/>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w:t>
            </w: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32"/>
        </w:trPr>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8"/>
        </w:trPr>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-327660</wp:posOffset>
            </wp:positionV>
            <wp:extent cx="713486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6940" w:space="720"/>
            <w:col w:w="3580"/>
          </w:cols>
          <w:pgMar w:left="320" w:top="969" w:right="339" w:bottom="1440" w:gutter="0" w:footer="0" w:header="0"/>
          <w:type w:val="continuous"/>
        </w:sectPr>
      </w:pPr>
    </w:p>
    <w:p>
      <w:pPr>
        <w:ind w:left="320" w:hanging="314"/>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 million of severance pay and benefits recorded in Other liabilities in the Consolidated Balance Sheet.</w:t>
      </w:r>
    </w:p>
    <w:p>
      <w:pPr>
        <w:ind w:left="320" w:hanging="314"/>
        <w:spacing w:after="0" w:line="215" w:lineRule="auto"/>
        <w:tabs>
          <w:tab w:leader="none" w:pos="30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2" w:name="page13"/>
    <w:bookmarkEnd w:id="12"/>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0"/>
                <w:szCs w:val="10"/>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0"/>
                <w:szCs w:val="10"/>
                <w:color w:val="auto"/>
              </w:rPr>
            </w:pPr>
          </w:p>
        </w:tc>
        <w:tc>
          <w:tcPr>
            <w:tcW w:w="1260" w:type="dxa"/>
            <w:vAlign w:val="bottom"/>
          </w:tcPr>
          <w:p>
            <w:pPr>
              <w:jc w:val="right"/>
              <w:ind w:right="98"/>
              <w:spacing w:after="0" w:line="126" w:lineRule="exact"/>
              <w:rPr>
                <w:sz w:val="20"/>
                <w:szCs w:val="20"/>
                <w:color w:val="auto"/>
              </w:rPr>
            </w:pPr>
            <w:r>
              <w:rPr>
                <w:rFonts w:ascii="Times New Roman" w:cs="Times New Roman" w:eastAsia="Times New Roman" w:hAnsi="Times New Roman"/>
                <w:sz w:val="14"/>
                <w:szCs w:val="14"/>
                <w:b w:val="1"/>
                <w:bCs w:val="1"/>
                <w:color w:val="auto"/>
              </w:rPr>
              <w:t>Costs Incurred to</w:t>
            </w:r>
          </w:p>
        </w:tc>
        <w:tc>
          <w:tcPr>
            <w:tcW w:w="0" w:type="dxa"/>
            <w:vAlign w:val="bottom"/>
          </w:tcPr>
          <w:p>
            <w:pPr>
              <w:spacing w:after="0"/>
              <w:rPr>
                <w:sz w:val="1"/>
                <w:szCs w:val="1"/>
                <w:color w:val="auto"/>
              </w:rPr>
            </w:pPr>
          </w:p>
        </w:tc>
      </w:tr>
      <w:tr>
        <w:trPr>
          <w:trHeight w:val="192"/>
        </w:trPr>
        <w:tc>
          <w:tcPr>
            <w:tcW w:w="6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5"/>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in the second quarter of 2021, we recorded a $19 million deferred tax charge in connection with a legal entity reorganization as part of the continued integration of Snyder's-Lance.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 (EPS)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nine-month periods ended May 1, 2022, and May 2, 2021, excludes approximately 1 million stock options that would have been antidilutive.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Borders>
              <w:top w:val="single" w:sz="8" w:color="auto"/>
            </w:tcBorders>
          </w:tcPr>
          <w:p>
            <w:pPr>
              <w:spacing w:after="0"/>
              <w:rPr>
                <w:sz w:val="16"/>
                <w:szCs w:val="16"/>
                <w:color w:val="auto"/>
              </w:rPr>
            </w:pPr>
          </w:p>
        </w:tc>
        <w:tc>
          <w:tcPr>
            <w:tcW w:w="2140" w:type="dxa"/>
            <w:vAlign w:val="bottom"/>
            <w:tcBorders>
              <w:top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2"/>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25"/>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left="536"/>
              <w:spacing w:after="0"/>
              <w:rPr>
                <w:sz w:val="20"/>
                <w:szCs w:val="20"/>
                <w:color w:val="auto"/>
              </w:rPr>
            </w:pPr>
            <w:r>
              <w:rPr>
                <w:rFonts w:ascii="Times New Roman" w:cs="Times New Roman" w:eastAsia="Times New Roman" w:hAnsi="Times New Roman"/>
                <w:sz w:val="18"/>
                <w:szCs w:val="18"/>
                <w:b w:val="1"/>
                <w:bCs w:val="1"/>
                <w:color w:val="auto"/>
                <w:w w:val="99"/>
              </w:rPr>
              <w:t>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2"/>
        </w:trPr>
        <w:tc>
          <w:tcPr>
            <w:tcW w:w="18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Expected return on plan</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w w:val="93"/>
              </w:rPr>
              <w:t>(91)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9"/>
              </w:rPr>
              <w:t>(92)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Amortization of prior</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left="476"/>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2"/>
        </w:trPr>
        <w:tc>
          <w:tcPr>
            <w:tcW w:w="180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periodic benefit</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vMerge w:val="restart"/>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w w:val="93"/>
              </w:rPr>
              <w:t>(33)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center"/>
              <w:ind w:left="536"/>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1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Actuarial losses (gains) were due to the remeasurements of U.S. and Canadian pension plans. These remeasurements were each due to lump sum distributions that exceeded or are expected to exceed service and interest costs resulting in settlement accounting for the plans. The actuarial losses recognized for the three- and nine-month periods ended May 1, 2022 were primarily due to lower than anticipated investment returns on plan assets, partially offset by an increase in discount rates used to determine the benefit obligation. The actuarial gains recognized for the three- and nine-month periods ended May 2, 2021 were primarily due to an increase in discount rates used to determine the benefit obligation, partially offset by lower than anticipated investment returns on plan assets.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25"/>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5"/>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5"/>
        </w:trPr>
        <w:tc>
          <w:tcPr>
            <w:tcW w:w="59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labor and other overhead in our service contracts with embedded leases.</w:t>
      </w:r>
    </w:p>
    <w:p>
      <w:pPr>
        <w:spacing w:after="0" w:line="73"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338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60" w:type="dxa"/>
            <w:vAlign w:val="bottom"/>
            <w:vMerge w:val="continue"/>
          </w:tcPr>
          <w:p>
            <w:pPr>
              <w:spacing w:after="0"/>
              <w:rPr>
                <w:sz w:val="16"/>
                <w:szCs w:val="16"/>
                <w:color w:val="auto"/>
              </w:rPr>
            </w:pPr>
          </w:p>
        </w:tc>
        <w:tc>
          <w:tcPr>
            <w:tcW w:w="33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0" w:type="dxa"/>
            <w:vAlign w:val="bottom"/>
          </w:tcPr>
          <w:p>
            <w:pPr>
              <w:spacing w:after="0"/>
              <w:rPr>
                <w:sz w:val="1"/>
                <w:szCs w:val="1"/>
                <w:color w:val="auto"/>
              </w:rPr>
            </w:pPr>
          </w:p>
        </w:tc>
      </w:tr>
      <w:tr>
        <w:trPr>
          <w:trHeight w:val="225"/>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439"/>
        </w:trPr>
        <w:tc>
          <w:tcPr>
            <w:tcW w:w="5760" w:type="dxa"/>
            <w:vAlign w:val="bottom"/>
          </w:tcPr>
          <w:p>
            <w:pPr>
              <w:spacing w:after="0"/>
              <w:rPr>
                <w:sz w:val="24"/>
                <w:szCs w:val="24"/>
                <w:color w:val="auto"/>
              </w:rPr>
            </w:pPr>
          </w:p>
        </w:tc>
        <w:tc>
          <w:tcPr>
            <w:tcW w:w="338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60" w:type="dxa"/>
            <w:vAlign w:val="bottom"/>
            <w:vMerge w:val="continue"/>
          </w:tcPr>
          <w:p>
            <w:pPr>
              <w:spacing w:after="0"/>
              <w:rPr>
                <w:sz w:val="16"/>
                <w:szCs w:val="16"/>
                <w:color w:val="auto"/>
              </w:rPr>
            </w:pPr>
          </w:p>
        </w:tc>
        <w:tc>
          <w:tcPr>
            <w:tcW w:w="33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0" w:type="dxa"/>
            <w:vAlign w:val="bottom"/>
          </w:tcPr>
          <w:p>
            <w:pPr>
              <w:spacing w:after="0"/>
              <w:rPr>
                <w:sz w:val="1"/>
                <w:szCs w:val="1"/>
                <w:color w:val="auto"/>
              </w:rPr>
            </w:pPr>
          </w:p>
        </w:tc>
      </w:tr>
      <w:tr>
        <w:trPr>
          <w:trHeight w:val="225"/>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Pr>
          <w:p>
            <w:pPr>
              <w:spacing w:after="0"/>
              <w:rPr>
                <w:sz w:val="16"/>
                <w:szCs w:val="16"/>
                <w:color w:val="auto"/>
              </w:rPr>
            </w:pP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5"/>
        </w:trPr>
        <w:tc>
          <w:tcPr>
            <w:tcW w:w="8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 Extinguishment</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4, 2022, we completed the redemption of all $450 million outstanding aggregate principal amount of our 2.50% Senior Notes due August 2, 2022. The consideration for the redemption was $453 million, including $3 million of premium. We recognized a loss of $4 million (including the $3 million of premium and other costs), which was recorded in Interest expense in the Consolidated Statement of Earnings. In addition, we paid accrued and unpaid interest on the redeemed notes through the date of settlement. We used a combination of cash on hand and short-term debt to fund the redemption.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Instruments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4" w:name="page15"/>
    <w:bookmarkEnd w:id="14"/>
    <w:p>
      <w:pPr>
        <w:jc w:val="both"/>
        <w:spacing w:after="0" w:line="274" w:lineRule="auto"/>
        <w:rPr>
          <w:sz w:val="20"/>
          <w:szCs w:val="20"/>
          <w:color w:val="auto"/>
        </w:rPr>
      </w:pPr>
      <w:r>
        <w:rPr>
          <w:rFonts w:ascii="Times New Roman" w:cs="Times New Roman" w:eastAsia="Times New Roman" w:hAnsi="Times New Roman"/>
          <w:sz w:val="18"/>
          <w:szCs w:val="18"/>
          <w:color w:val="auto"/>
        </w:rPr>
        <w:t>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May 1, 2022, or August 1, 2021.</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exposed to credit risk from our customers. During 2021, our largest customer accounted for approximately 21% of consolidated net sales from continuing operations. Our five largest customers accounted for approximately 46% of our consolidated net sales from continuing operations in 2021.</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are exposed to foreign currency exchange risk related to third-party transactions and intercompany transactions. Principal currencies hedged include the Canadian dollar. We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$176 million as of May 1, 2022, and $134 million as of August 1, 2021.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that are not designated as accounting hedges was $15 million as of May 1, 2022, and $13 million as of August 1, 2021.</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and by utilizing interest rate swaps in order to maintain our variable-to-total debt ratio within targeted guidelines. There were no interest rate swaps or treasury rate lock contracts outstanding as of May 1, 2022, or August 1, 2021.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8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natural gas, aluminum, cocoa, soybean meal, corn and butter. Commodity futures, options and swap contracts are either designated as cash-flow hedging instruments or are undesignated. We hedge a portion of commodity requirements for periods typically up to 18 months. The notional amount of commodity contracts designated as cash-flow hedges was $9 million as of May 1, 2022, and $18 million as of August 1, 2021. Changes in the fair value on the portion of the derivative included in the assessment of hedge effectiveness of cash-flow hedges are recorded in other comprehensive income (loss), until earnings are affected by the variability of cash flows. The notional amount of commodity contracts not designated as accounting hedges was $184 million as of May 1, 2022, and $190 million as of August 1, 2021. The change in fair value on undesignated instruments is recorded in Cost of products sold.</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$63 million as of May 1, 2022, and $38 million as of August 1, 2021. The change in fair value on the embedded derivative is recorded in Cost of products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certain deferred compensation obligations linked to the total return of the Vanguard Extended Market Index Plus Fund, the Vanguard Institutional Index Institutional Plus Fund, the Vanguard Short-Term Bond Index Fund, and the Vanguard Total International Stock Index Fund. Prior to 2022, we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t>had entered into swap contracts which hedged a portion of exposures linked to the total return of our capital stock. As of May 1, 2022, and August 1, 2021, there were no swap contracts outstanding hedging our exposure linked to the total return of our capital stock.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$50 million as of May 1, 2022, and $29 million as of August 1, 2021.</w:t>
      </w:r>
    </w:p>
    <w:p>
      <w:pPr>
        <w:spacing w:after="0" w:line="53"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 May 1, 2022, and August 1, 2021:</w:t>
      </w:r>
    </w:p>
    <w:tbl>
      <w:tblPr>
        <w:tblLayout w:type="fixed"/>
        <w:tblInd w:w="0" w:type="dxa"/>
        <w:tblCellMar>
          <w:top w:w="0" w:type="dxa"/>
          <w:left w:w="0" w:type="dxa"/>
          <w:bottom w:w="0" w:type="dxa"/>
          <w:right w:w="0" w:type="dxa"/>
        </w:tblCellMar>
      </w:tblPr>
      <w:tr>
        <w:trPr>
          <w:trHeight w:val="18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40" w:type="dxa"/>
            <w:vAlign w:val="bottom"/>
          </w:tcPr>
          <w:p>
            <w:pPr>
              <w:spacing w:after="0"/>
              <w:rPr>
                <w:sz w:val="16"/>
                <w:szCs w:val="16"/>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4"/>
        </w:trPr>
        <w:tc>
          <w:tcPr>
            <w:tcW w:w="436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4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 Derivatives</w:t>
            </w: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4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5"/>
        </w:trPr>
        <w:tc>
          <w:tcPr>
            <w:tcW w:w="4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4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8"/>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4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43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79"/>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4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August 1, 2021</w:t>
            </w:r>
          </w:p>
        </w:tc>
      </w:tr>
      <w:tr>
        <w:trPr>
          <w:trHeight w:val="24"/>
        </w:trPr>
        <w:tc>
          <w:tcPr>
            <w:tcW w:w="436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4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Liability Derivatives</w:t>
            </w: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4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5"/>
        </w:trPr>
        <w:tc>
          <w:tcPr>
            <w:tcW w:w="4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4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4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May 1, 2022, and August 1, 2021,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August 1, 2021</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Cash margin liability balances of $3 million at May 1, 2022, and $14 million at August 1, 2021, were included in Accrued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6" w:name="page17"/>
    <w:bookmarkEnd w:id="16"/>
    <w:p>
      <w:pPr>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for the three- and nine-month periods ended May 1, 2022, and May 2, 2021, in other comprehensive income (loss) (OCI) and the Consolidated Statements of Earnings:</w:t>
      </w:r>
    </w:p>
    <w:tbl>
      <w:tblPr>
        <w:tblLayout w:type="fixed"/>
        <w:tblInd w:w="10" w:type="dxa"/>
        <w:tblCellMar>
          <w:top w:w="0" w:type="dxa"/>
          <w:left w:w="0" w:type="dxa"/>
          <w:bottom w:w="0" w:type="dxa"/>
          <w:right w:w="0" w:type="dxa"/>
        </w:tblCellMar>
      </w:tblPr>
      <w:tr>
        <w:trPr>
          <w:trHeight w:val="144"/>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gridSpan w:val="4"/>
          </w:tcPr>
          <w:p>
            <w:pPr>
              <w:jc w:val="right"/>
              <w:ind w:right="793"/>
              <w:spacing w:after="0" w:line="145" w:lineRule="exact"/>
              <w:rPr>
                <w:sz w:val="20"/>
                <w:szCs w:val="20"/>
                <w:color w:val="auto"/>
              </w:rPr>
            </w:pPr>
            <w:r>
              <w:rPr>
                <w:rFonts w:ascii="Times New Roman" w:cs="Times New Roman" w:eastAsia="Times New Roman" w:hAnsi="Times New Roman"/>
                <w:sz w:val="14"/>
                <w:szCs w:val="14"/>
                <w:b w:val="1"/>
                <w:bCs w:val="1"/>
                <w:color w:val="auto"/>
              </w:rPr>
              <w:t>Total Cash-Flow Hedge</w:t>
            </w:r>
          </w:p>
        </w:tc>
      </w:tr>
      <w:tr>
        <w:trPr>
          <w:trHeight w:val="192"/>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1160" w:type="dxa"/>
            <w:vAlign w:val="bottom"/>
            <w:tcBorders>
              <w:bottom w:val="single" w:sz="8" w:color="auto"/>
            </w:tcBorders>
          </w:tcPr>
          <w:p>
            <w:pPr>
              <w:spacing w:after="0"/>
              <w:rPr>
                <w:sz w:val="16"/>
                <w:szCs w:val="16"/>
                <w:color w:val="auto"/>
              </w:rPr>
            </w:pPr>
          </w:p>
        </w:tc>
      </w:tr>
      <w:tr>
        <w:trPr>
          <w:trHeight w:val="192"/>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38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172"/>
        </w:trPr>
        <w:tc>
          <w:tcPr>
            <w:tcW w:w="5480" w:type="dxa"/>
            <w:vAlign w:val="bottom"/>
            <w:tcBorders>
              <w:top w:val="single" w:sz="8" w:color="CCEEFF"/>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r>
      <w:tr>
        <w:trPr>
          <w:trHeight w:val="40"/>
        </w:trPr>
        <w:tc>
          <w:tcPr>
            <w:tcW w:w="1540" w:type="dxa"/>
            <w:vAlign w:val="bottom"/>
            <w:tcBorders>
              <w:lef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86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r>
        <w:trPr>
          <w:trHeight w:val="225"/>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84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54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5"/>
        </w:trPr>
        <w:tc>
          <w:tcPr>
            <w:tcW w:w="54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160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7"/>
              </w:rPr>
              <w:t>Location in Earnings</w:t>
            </w:r>
          </w:p>
        </w:tc>
        <w:tc>
          <w:tcPr>
            <w:tcW w:w="124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480" w:type="dxa"/>
            <w:vAlign w:val="bottom"/>
            <w:tcBorders>
              <w:top w:val="single" w:sz="8" w:color="CCEEFF"/>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1540" w:type="dxa"/>
            <w:vAlign w:val="bottom"/>
            <w:tcBorders>
              <w:left w:val="single" w:sz="8" w:color="CCEEFF"/>
              <w:bottom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Nine Months Ended</w:t>
            </w:r>
          </w:p>
        </w:tc>
        <w:tc>
          <w:tcPr>
            <w:tcW w:w="3940" w:type="dxa"/>
            <w:vAlign w:val="bottom"/>
            <w:tcBorders>
              <w:bottom w:val="single" w:sz="8" w:color="CCEEFF"/>
            </w:tcBorders>
            <w:gridSpan w:val="2"/>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25"/>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84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5"/>
        </w:trPr>
        <w:tc>
          <w:tcPr>
            <w:tcW w:w="54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95"/>
        </w:trPr>
        <w:tc>
          <w:tcPr>
            <w:tcW w:w="54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160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7"/>
              </w:rPr>
              <w:t>Location in Earnings</w:t>
            </w:r>
          </w:p>
        </w:tc>
        <w:tc>
          <w:tcPr>
            <w:tcW w:w="124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54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gain of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7" w:name="page18"/>
    <w:bookmarkEnd w:id="17"/>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tables show the total amounts of line items presented in the Consolidated Statements of Earnings for the three- and nine-month periods ended May 1, 2022, and May 2, 2021, in which the effects of derivative instruments designated as cash-flow hedges are recorded. The total effect of hedge activity on these line items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80" w:type="dxa"/>
            <w:vAlign w:val="bottom"/>
          </w:tcPr>
          <w:p>
            <w:pPr>
              <w:spacing w:after="0"/>
              <w:rPr>
                <w:sz w:val="16"/>
                <w:szCs w:val="16"/>
                <w:color w:val="auto"/>
              </w:rPr>
            </w:pPr>
          </w:p>
        </w:tc>
        <w:tc>
          <w:tcPr>
            <w:tcW w:w="202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132"/>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0" w:type="dxa"/>
            <w:vAlign w:val="bottom"/>
            <w:tcBorders>
              <w:top w:val="single" w:sz="8" w:color="auto"/>
            </w:tcBorders>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1"/>
                <w:szCs w:val="11"/>
                <w:color w:val="auto"/>
              </w:rPr>
            </w:pPr>
          </w:p>
        </w:tc>
        <w:tc>
          <w:tcPr>
            <w:tcW w:w="1200" w:type="dxa"/>
            <w:vAlign w:val="bottom"/>
            <w:tcBorders>
              <w:top w:val="single" w:sz="8" w:color="auto"/>
            </w:tcBorders>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2"/>
        </w:trPr>
        <w:tc>
          <w:tcPr>
            <w:tcW w:w="6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5"/>
        </w:trPr>
        <w:tc>
          <w:tcPr>
            <w:tcW w:w="6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Amount excluded from effectiveness testing recognized in earnings using an</w:t>
            </w:r>
          </w:p>
        </w:tc>
        <w:tc>
          <w:tcPr>
            <w:tcW w:w="28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approach</w:t>
            </w:r>
          </w:p>
        </w:tc>
        <w:tc>
          <w:tcPr>
            <w:tcW w:w="28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9"/>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80" w:type="dxa"/>
            <w:vAlign w:val="bottom"/>
          </w:tcPr>
          <w:p>
            <w:pPr>
              <w:spacing w:after="0"/>
              <w:rPr>
                <w:sz w:val="16"/>
                <w:szCs w:val="16"/>
                <w:color w:val="auto"/>
              </w:rPr>
            </w:pPr>
          </w:p>
        </w:tc>
        <w:tc>
          <w:tcPr>
            <w:tcW w:w="202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132"/>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0" w:type="dxa"/>
            <w:vAlign w:val="bottom"/>
            <w:tcBorders>
              <w:top w:val="single" w:sz="8" w:color="auto"/>
            </w:tcBorders>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1"/>
                <w:szCs w:val="11"/>
                <w:color w:val="auto"/>
              </w:rPr>
            </w:pPr>
          </w:p>
        </w:tc>
        <w:tc>
          <w:tcPr>
            <w:tcW w:w="1200" w:type="dxa"/>
            <w:vAlign w:val="bottom"/>
            <w:tcBorders>
              <w:top w:val="single" w:sz="8" w:color="auto"/>
            </w:tcBorders>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2"/>
        </w:trPr>
        <w:tc>
          <w:tcPr>
            <w:tcW w:w="65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65"/>
        </w:trPr>
        <w:tc>
          <w:tcPr>
            <w:tcW w:w="6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on cash-flow hedges:</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Amount excluded from effectiveness testing recognized in earnings using an</w:t>
            </w:r>
          </w:p>
        </w:tc>
        <w:tc>
          <w:tcPr>
            <w:tcW w:w="28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approach</w:t>
            </w:r>
          </w:p>
        </w:tc>
        <w:tc>
          <w:tcPr>
            <w:tcW w:w="28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for the three- and nine-month periods ended May 1, 2022, and May 2, 2021, in the Consolidated Statements of Earnings: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2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3780" w:type="dxa"/>
            <w:vAlign w:val="bottom"/>
          </w:tcPr>
          <w:p>
            <w:pPr>
              <w:spacing w:after="0"/>
              <w:rPr>
                <w:sz w:val="2"/>
                <w:szCs w:val="2"/>
                <w:color w:val="auto"/>
              </w:rPr>
            </w:pPr>
          </w:p>
        </w:tc>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4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60" w:type="dxa"/>
            <w:vAlign w:val="bottom"/>
          </w:tcPr>
          <w:p>
            <w:pPr>
              <w:spacing w:after="0"/>
              <w:rPr>
                <w:sz w:val="13"/>
                <w:szCs w:val="13"/>
                <w:color w:val="auto"/>
              </w:rPr>
            </w:pPr>
          </w:p>
        </w:tc>
        <w:tc>
          <w:tcPr>
            <w:tcW w:w="10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191"/>
        </w:trPr>
        <w:tc>
          <w:tcPr>
            <w:tcW w:w="3780" w:type="dxa"/>
            <w:vAlign w:val="bottom"/>
            <w:vMerge w:val="continue"/>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(gain)</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85"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3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89"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May 1, 2022, and August 1, 2021, consistent with the fair value hierarchy:</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6"/>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May 1, 2022 Using</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August 1, 2021 Using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May 1, 2022</w:t>
            </w:r>
          </w:p>
        </w:tc>
        <w:tc>
          <w:tcPr>
            <w:tcW w:w="22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August 1, 2021</w:t>
            </w:r>
          </w:p>
        </w:tc>
        <w:tc>
          <w:tcPr>
            <w:tcW w:w="20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1820" w:type="dxa"/>
            <w:vAlign w:val="bottom"/>
            <w:tcBorders>
              <w:top w:val="single" w:sz="8" w:color="CCEEFF"/>
              <w:left w:val="single" w:sz="8" w:color="CCEEFF"/>
            </w:tcBorders>
            <w:gridSpan w:val="3"/>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8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20" w:type="dxa"/>
            <w:vAlign w:val="bottom"/>
            <w:gridSpan w:val="3"/>
          </w:tcPr>
          <w:p>
            <w:pPr>
              <w:ind w:left="140"/>
              <w:spacing w:after="0" w:line="177" w:lineRule="exact"/>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5"/>
                <w:szCs w:val="15"/>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gridSpan w:val="3"/>
          </w:tcPr>
          <w:p>
            <w:pPr>
              <w:ind w:left="140"/>
              <w:spacing w:after="0" w:line="233"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1820" w:type="dxa"/>
            <w:vAlign w:val="bottom"/>
            <w:tcBorders>
              <w:left w:val="single" w:sz="8" w:color="CCEEFF"/>
            </w:tcBorders>
            <w:gridSpan w:val="3"/>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tcBorders>
              <w:left w:val="single" w:sz="8" w:color="CCEEFF"/>
            </w:tcBorders>
            <w:gridSpan w:val="3"/>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7"/>
        </w:trPr>
        <w:tc>
          <w:tcPr>
            <w:tcW w:w="1820" w:type="dxa"/>
            <w:vAlign w:val="bottom"/>
            <w:gridSpan w:val="3"/>
          </w:tcPr>
          <w:p>
            <w:pPr>
              <w:ind w:left="14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gridSpan w:val="3"/>
          </w:tcPr>
          <w:p>
            <w:pPr>
              <w:ind w:left="140"/>
              <w:spacing w:after="0" w:line="233"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1820" w:type="dxa"/>
            <w:vAlign w:val="bottom"/>
            <w:tcBorders>
              <w:left w:val="single" w:sz="8" w:color="CCEEFF"/>
            </w:tcBorders>
            <w:gridSpan w:val="3"/>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20" w:type="dxa"/>
            <w:vAlign w:val="bottom"/>
            <w:tcBorders>
              <w:left w:val="single" w:sz="8" w:color="CCEEFF"/>
            </w:tcBorders>
            <w:gridSpan w:val="3"/>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6"/>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May 1, 2022 Using</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0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August 1, 2021 Using</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center"/>
              <w:ind w:right="24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restart"/>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May 1, 2022</w:t>
            </w:r>
          </w:p>
        </w:tc>
        <w:tc>
          <w:tcPr>
            <w:tcW w:w="220" w:type="dxa"/>
            <w:vAlign w:val="bottom"/>
          </w:tcPr>
          <w:p>
            <w:pPr>
              <w:spacing w:after="0"/>
              <w:rPr>
                <w:sz w:val="16"/>
                <w:szCs w:val="16"/>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August 1, 2021</w:t>
            </w:r>
          </w:p>
        </w:tc>
        <w:tc>
          <w:tcPr>
            <w:tcW w:w="20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740" w:type="dxa"/>
            <w:vAlign w:val="bottom"/>
            <w:tcBorders>
              <w:top w:val="single" w:sz="8" w:color="CCEEFF"/>
              <w:left w:val="single" w:sz="8" w:color="CCEEFF"/>
              <w:bottom w:val="single" w:sz="8" w:color="auto"/>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5"/>
              </w:rPr>
              <w:t>Liabilities</w:t>
            </w: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20" w:type="dxa"/>
            <w:vAlign w:val="bottom"/>
            <w:gridSpan w:val="3"/>
          </w:tcPr>
          <w:p>
            <w:pPr>
              <w:ind w:left="140"/>
              <w:spacing w:after="0" w:line="172" w:lineRule="exact"/>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20" w:type="dxa"/>
            <w:vAlign w:val="bottom"/>
            <w:gridSpan w:val="3"/>
          </w:tcPr>
          <w:p>
            <w:pPr>
              <w:ind w:left="140"/>
              <w:spacing w:after="0" w:line="239" w:lineRule="exact"/>
              <w:rPr>
                <w:sz w:val="20"/>
                <w:szCs w:val="20"/>
                <w:color w:val="auto"/>
              </w:rPr>
            </w:pPr>
            <w:r>
              <w:rPr>
                <w:rFonts w:ascii="Times New Roman" w:cs="Times New Roman" w:eastAsia="Times New Roman" w:hAnsi="Times New Roman"/>
                <w:sz w:val="18"/>
                <w:szCs w:val="18"/>
                <w:color w:val="auto"/>
              </w:rPr>
              <w:t>forward contracts</w:t>
            </w:r>
            <w:r>
              <w:rPr>
                <w:rFonts w:ascii="Times New Roman" w:cs="Times New Roman" w:eastAsia="Times New Roman" w:hAnsi="Times New Roman"/>
                <w:sz w:val="22"/>
                <w:szCs w:val="22"/>
                <w:color w:val="auto"/>
                <w:vertAlign w:val="superscript"/>
              </w:rPr>
              <w:t>(1)</w:t>
            </w:r>
          </w:p>
        </w:tc>
        <w:tc>
          <w:tcPr>
            <w:tcW w:w="14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20" w:type="dxa"/>
            <w:vAlign w:val="bottom"/>
            <w:tcBorders>
              <w:left w:val="single" w:sz="8" w:color="CCEEFF"/>
            </w:tcBorders>
            <w:gridSpan w:val="3"/>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Commodity derivative</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20" w:type="dxa"/>
            <w:vAlign w:val="bottom"/>
            <w:tcBorders>
              <w:left w:val="single" w:sz="8" w:color="CCEEFF"/>
            </w:tcBorders>
            <w:gridSpan w:val="3"/>
            <w:shd w:val="clear" w:color="auto" w:fill="CCEEFF"/>
          </w:tcPr>
          <w:p>
            <w:pPr>
              <w:ind w:left="140"/>
              <w:spacing w:after="0" w:line="239"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20" w:type="dxa"/>
            <w:vAlign w:val="bottom"/>
            <w:gridSpan w:val="3"/>
          </w:tcPr>
          <w:p>
            <w:pPr>
              <w:ind w:left="140"/>
              <w:spacing w:after="0" w:line="17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20" w:type="dxa"/>
            <w:vAlign w:val="bottom"/>
            <w:gridSpan w:val="3"/>
          </w:tcPr>
          <w:p>
            <w:pPr>
              <w:ind w:left="140"/>
              <w:spacing w:after="0" w:line="239"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820" w:type="dxa"/>
            <w:vAlign w:val="bottom"/>
            <w:tcBorders>
              <w:left w:val="single" w:sz="8" w:color="CCEEFF"/>
            </w:tcBorders>
            <w:gridSpan w:val="3"/>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820" w:type="dxa"/>
            <w:vAlign w:val="bottom"/>
            <w:tcBorders>
              <w:left w:val="single" w:sz="8" w:color="CCEEFF"/>
            </w:tcBorders>
            <w:gridSpan w:val="3"/>
            <w:shd w:val="clear" w:color="auto" w:fill="CCEEFF"/>
          </w:tcPr>
          <w:p>
            <w:pPr>
              <w:ind w:left="140"/>
              <w:spacing w:after="0" w:line="239"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1820" w:type="dxa"/>
            <w:vAlign w:val="bottom"/>
            <w:gridSpan w:val="3"/>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liabilities at fair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32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3"/>
                <w:szCs w:val="13"/>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3"/>
                <w:szCs w:val="13"/>
                <w:color w:val="auto"/>
              </w:rPr>
            </w:pPr>
          </w:p>
        </w:tc>
        <w:tc>
          <w:tcPr>
            <w:tcW w:w="2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30"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equity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9" w:name="page20"/>
    <w:bookmarkEnd w:id="19"/>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 for the nine-month periods ended May 1, 2022, and May 2, 2021: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25"/>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$39 million of cash equivalents at May 1, 2022, and none at August 1, 2021. Cash equivalents represent fair value as these highly liquid investments have an original maturity of three months or less. Fair value of cash equivalents is based on Level 2 inputs.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$4,541 million at May 1, 2022, and $5,613 million at August 1, 2021. The carrying value was $4,748 million at May 1, 2022, and $5,058 million at August 1, 2021.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nine-month period ended May 1, 2022, we repurchased approximately 2.7 million shares at a cost of $116 million. Of this amount, $41 million was used to repurchase shares pursuant to our June 2021 program and $75 million was used to repurchase shares pursuant to our September 2021 program. As of May 1, 2022, approximately $173 million remained available under the June 2021 program and approximately $425 million remained available under the September 2021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2022, we issued time-lapse restricted stock units, unrestricted stock, TSR performance restricted stock units and EPS performance restricted stock units. We last issued stock options and FCF performance restricted stock units in 2019.</w:t>
      </w:r>
    </w:p>
    <w:p>
      <w:pPr>
        <w:spacing w:after="0" w:line="6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440" w:type="dxa"/>
            <w:vAlign w:val="bottom"/>
            <w:gridSpan w:val="4"/>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14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828"/>
        </w:trPr>
        <w:tc>
          <w:tcPr>
            <w:tcW w:w="4480" w:type="dxa"/>
            <w:vAlign w:val="bottom"/>
          </w:tcPr>
          <w:p>
            <w:pPr>
              <w:spacing w:after="0"/>
              <w:rPr>
                <w:sz w:val="24"/>
                <w:szCs w:val="24"/>
                <w:color w:val="auto"/>
              </w:rPr>
            </w:pP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 as of May 1,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4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6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60" w:type="dxa"/>
            <w:vAlign w:val="bottom"/>
          </w:tcPr>
          <w:p>
            <w:pPr>
              <w:jc w:val="center"/>
              <w:ind w:right="22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6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203"/>
              <w:spacing w:after="0" w:line="133"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August 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45.61</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36.60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May 1,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May 1,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45.83</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
              <w:spacing w:after="0" w:line="198"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intrinsic value of options exercised during the nine-month periods ended May 1, 2022 and May 2, 2021 was not material.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time-lapse restricted stock units, EPS performance restricted stock units and FCF performance restricted stock units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33"/>
        </w:trPr>
        <w:tc>
          <w:tcPr>
            <w:tcW w:w="7580" w:type="dxa"/>
            <w:vAlign w:val="bottom"/>
          </w:tcPr>
          <w:p>
            <w:pPr>
              <w:spacing w:after="0"/>
              <w:rPr>
                <w:sz w:val="11"/>
                <w:szCs w:val="11"/>
                <w:color w:val="auto"/>
              </w:rPr>
            </w:pPr>
          </w:p>
        </w:tc>
        <w:tc>
          <w:tcPr>
            <w:tcW w:w="17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1,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May 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which we expense on an accelerated basis.</w:t>
      </w:r>
    </w:p>
    <w:p>
      <w:pPr>
        <w:spacing w:after="0" w:line="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2022, we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There were 309 thousand EPS performance target grants outstanding at May 1, 2022, with a weighted-average grant-date fair value of $41.50.</w:t>
      </w:r>
    </w:p>
    <w:p>
      <w:pPr>
        <w:spacing w:after="0" w:line="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2019, we issued approximately 388 thousand FCF performance restricted stock units for which vesting was contingent upon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would vest at the end of the three years. The actual number of FCF performance restricted stock units issued at the vesting date could range from 0% to 200% of the initial grant depending on actual performance achieved. The fair value of FCF performance restricted stock units was based upon the quoted price of our stock at the date of grant. We expensed FCF performance restricted stock units over the requisite service period of each objective. We estimated expense based on the number of awards expected to vest. In the first quarter of 2022, recipients of FCF performance restricted stock units earned 167% of the initial grants based upon the average of actual performance achieved during a three-year period ended August 1, 2021. As a result, approximately 158 thousand additional shares were awarded. As of October 31, 2021, there were no FCF performance target grants outstanding.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1" w:name="page22"/>
    <w:bookmarkEnd w:id="21"/>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May 1, 2022, total remaining unearned compensation related to nonvested time-lapse restricted stock units and EPS performance restricted stock units was $45 million, which will be amortized over the weighted-average remaining service period of 1.9 years. The fair value of restricted stock units vested during the nine-month periods ended May 1, 2022, and May 2, 2021, was $50 million, and $38 million, respectively. The weighted-average grant-date fair value of the restricted stock units granted during the nine-month period ended May 2, 2021 was $48.43.</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as of May 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820" w:type="dxa"/>
            <w:vAlign w:val="bottom"/>
          </w:tcPr>
          <w:p>
            <w:pPr>
              <w:spacing w:after="0"/>
              <w:rPr>
                <w:sz w:val="11"/>
                <w:szCs w:val="11"/>
                <w:color w:val="auto"/>
              </w:rPr>
            </w:pPr>
          </w:p>
        </w:tc>
        <w:tc>
          <w:tcPr>
            <w:tcW w:w="164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 in thousands)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August 1, 2021</w:t>
            </w: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May 1, 2022</w:t>
            </w:r>
          </w:p>
        </w:tc>
        <w:tc>
          <w:tcPr>
            <w:tcW w:w="1640" w:type="dxa"/>
            <w:vAlign w:val="bottom"/>
            <w:tcBorders>
              <w:bottom w:val="single" w:sz="8" w:color="auto"/>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Weighted-average 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0.46%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3.50%</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27.42%</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29.99%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May 1, 2022, total remaining unearned compensation related to TSR performance restricted stock units was $20 million, which will be amortized over the weighted-average remaining service period of 1.6 years. In the first quarter of 2022, recipients of TSR performance restricted stock units earned 75% of the initial grants based upon our TSR ranking in a performance peer group during a three-year period ended July 30, 2021. In the first quarter of 2021, recipients of TSR performance restricted stock units earned 50% of the initial grants based upon our TSR ranking in a performance peer group during a three-year period ended July 31, 2020. The fair value of TSR performance restricted stock units vested during the nine-month periods ended May 1, 2022 and May 2, 2021 was $8 million and $11 million, respectively. The grant-date fair value of the TSR performance restricted stock units granted during 2021 was $54.93.</w:t>
      </w:r>
    </w:p>
    <w:p>
      <w:pPr>
        <w:spacing w:after="0" w:line="5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excess tax benefits of $1 million in the nine-month periods ended May 1, 2022, and May 2, 2021, on the exercise of stock options and vested restricted stock were presented as cash flows from operating activities. Cash received from the exercise of stock options was $1 million and $2 million for the nine-month periods ended May 1, 2022, and May 2, 2021, respectively, and is reflected in cash flows from financing activities in the Consolidated Statements of Cash Flows.</w:t>
      </w:r>
    </w:p>
    <w:p>
      <w:pPr>
        <w:spacing w:after="0" w:line="152" w:lineRule="exact"/>
        <w:rPr>
          <w:sz w:val="20"/>
          <w:szCs w:val="20"/>
          <w:color w:val="auto"/>
        </w:rPr>
      </w:pPr>
    </w:p>
    <w:p>
      <w:pPr>
        <w:ind w:right="8460" w:firstLine="6"/>
        <w:spacing w:after="0" w:line="367" w:lineRule="auto"/>
        <w:tabs>
          <w:tab w:leader="none" w:pos="265"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also subject to the uncertainty of how opposing parties and their counsel will themselves view the relevant evidence and applicable law.</w:t>
      </w:r>
    </w:p>
    <w:p>
      <w:pPr>
        <w:spacing w:after="0" w:line="8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On January 7, 2019, three purported shareholder class action lawsuits pending in the United States District Court for the District of New Jersey (the Court) were consolidated under the caption, </w:t>
      </w:r>
      <w:r>
        <w:rPr>
          <w:rFonts w:ascii="Times New Roman" w:cs="Times New Roman" w:eastAsia="Times New Roman" w:hAnsi="Times New Roman"/>
          <w:sz w:val="18"/>
          <w:szCs w:val="18"/>
          <w:i w:val="1"/>
          <w:iCs w:val="1"/>
          <w:color w:val="auto"/>
        </w:rPr>
        <w:t>In re Campbell Soup Company Securities Litigation</w:t>
      </w:r>
      <w:r>
        <w:rPr>
          <w:rFonts w:ascii="Times New Roman" w:cs="Times New Roman" w:eastAsia="Times New Roman" w:hAnsi="Times New Roman"/>
          <w:sz w:val="18"/>
          <w:szCs w:val="18"/>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amended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amended consolidated complaint seeks unspecified monetary damages and other relief. On April 30, 2019, the defendants filed a motion to dismiss the amended consolidated complaint, which the Court granted on November 30, 2020, with leave to amend the complaint. On January 15, 2021, the plaintiff filed its second amended consolidated complaint. The second amended consolidated complaint again names as defendants the company and certain of its former officers and alleges that, in public statements between August 31, 2017 and May 17, 2018, the defendants made materially false and misleading statements and/or omitted material information about the company's business, operations, customer relationships, and prospects, specifically with regard to the Campbell Fresh segment. The second amended consolidated complaint seeks unspecified monetary damages and other relief. On March 10, 2021 the defendants filed a motion to dismiss the second amended consolidated complaint. We are vigorously defending against the Action.</w:t>
      </w:r>
    </w:p>
    <w:p>
      <w:pPr>
        <w:spacing w:after="0" w:line="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May 1, 2022.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May 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Financial Statement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August 1, 2021</w:t>
            </w:r>
          </w:p>
        </w:tc>
        <w:tc>
          <w:tcPr>
            <w:tcW w:w="0" w:type="dxa"/>
            <w:vAlign w:val="bottom"/>
          </w:tcPr>
          <w:p>
            <w:pPr>
              <w:spacing w:after="0"/>
              <w:rPr>
                <w:sz w:val="1"/>
                <w:szCs w:val="1"/>
                <w:color w:val="auto"/>
              </w:rPr>
            </w:pPr>
          </w:p>
        </w:tc>
      </w:tr>
      <w:tr>
        <w:trPr>
          <w:trHeight w:val="24"/>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381</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1,044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21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5"/>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51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3" w:name="page24"/>
    <w:bookmarkEnd w:id="23"/>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August 1, 2021,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Campbell Soup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3, 2021, we completed the sale of our Plum baby food and snacks business. The results of the business through the date of sale were reflected in continuing operations within the Meals &amp; Beverages reportable segment.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2022, the foodservice and Canadian business formerly in our Snacks segment is managed as part of the Meals &amp; Beverages segment.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results have been adjusted retrospectively to reflect this change.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been actively monitoring the impact of the dynamic macroeconomic environment, including the COVID-19 pandemic, the conflict between Russia and Ukraine and inflation, on all aspects of our business. We anticipate that 2022 will continue to be a dynamic macroeconomic environment and we expect significantly elevated levels of input cost inflation to persist throughout the remainder of 2022. We anticipate that these headwinds will be partially mitigated by inflation-driven pricing actions, supply chain productivity improvements and cost savings initiatives.</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still remains uncertainty around the COVID-19 pandemic. The ultimate impact depends on the severity and duration of the pandemic, including the emergence and spread of new COVID-19 variants and resurgences, the continued availability and effectiveness of vaccines and actions taken by government authorities and other third parties in response to the pandemic. We will continue to evaluate the extent to which the COVID-19 pandemic will impact our business, consolidated results of operations and financial condition.</w:t>
      </w:r>
    </w:p>
    <w:p>
      <w:pPr>
        <w:spacing w:after="0" w:line="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we as a North American focused company have no direct exposure to Russia and Ukraine, we have experienced shortages in materials and increased costs for transportation, energy and raw materials due in part to the negative impact of the Russia-Ukraine conflict on the global economy. To date, the conflict between Russia and Ukraine has not had any material impact on our business, financial condition or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7% in the quarter to $2,130 million due to inflation-driven pricing and sales allowances, partially offset by volume declines and the impact from the divestiture of the Plum baby food and snacks business. Volumes declined driven by select supply constraints and price elasticities, partially offset by retailer inventory rebuild.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decreased to 31.2% in 2022 from 31.7% in the prior-year quarter. The decrease was primarily due to higher cost inflation and other supply chain costs as well as unfavorable volume/mix largely due to reduced operating leverage, partially offset by inflation-driven pricing actions, supply chain productivity improvements and cost savings initiatives.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from continuing operations were $.62 in 2022, compared to $.54 a year ago. The current quarter included expenses of $.08 per share and the prior-year quarter included gains of $.03 per share from items impacting comparability as discussed below.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Campbell Soup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jc w:val="both"/>
        <w:ind w:left="640" w:hanging="316"/>
        <w:spacing w:after="0" w:line="265" w:lineRule="auto"/>
        <w:tabs>
          <w:tab w:leader="none" w:pos="6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implemented several cost savings initiatives in recent years. In the third quarter of 2022, we recorded implementation costs and other related costs of $5 million in Administrative expenses and $1 million in Cost of products sold (aggregate impact of $5 million after tax, or $.02 per share) related to these initiatives. Year-to-date in 2022, we recorded implementation costs and other related costs of $10 million in Administrative expenses and $5 million in Cost of products sold (aggregate impact of $12 million after tax, or $.04 per share) related to these initiatives. In the third quarter of 2021, we recorded Restructuring charges of $2 million and implementation costs and other related costs of $11 million in Administrative expenses and $2 million in Cost of products sold (aggregate impact of $11 million after tax, or $.04 per share) related to these initiatives. Year-to-date in 2021, we recorded Restructuring charges of $21 million and implementation costs and other related costs of $21 million in Administrative expenses and $1 million in Cost of products sold (aggregate impact of $32 million after tax, or $.10 per share) related to these initiatives. See Note 6 to the Consolidated Financial Statements and "Restructuring Charges and Cost Savings Initiatives" for additional information;</w:t>
      </w:r>
    </w:p>
    <w:p>
      <w:pPr>
        <w:spacing w:after="0" w:line="44" w:lineRule="exact"/>
        <w:rPr>
          <w:rFonts w:ascii="Times New Roman" w:cs="Times New Roman" w:eastAsia="Times New Roman" w:hAnsi="Times New Roman"/>
          <w:sz w:val="17"/>
          <w:szCs w:val="17"/>
          <w:color w:val="auto"/>
        </w:rPr>
      </w:pPr>
    </w:p>
    <w:p>
      <w:pPr>
        <w:jc w:val="both"/>
        <w:ind w:left="640" w:hanging="316"/>
        <w:spacing w:after="0" w:line="25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2022, we recognized actuarial losses in Other expenses / (income) of $16 million ($12 million after tax, or $.04 per share). Year-to-date in 2022, we recognized actuarial losses in Other expenses / (income) of $12 million ($9 million after tax, or $.03 per share). In the third quarter of 2021, we recognized actuarial gains in Other expenses / (income) of $4 million ($3 million after tax, or $.01 per share). Year-to-date in 2021, we recognized actuarial gains in Other expenses / (income) of $38 million ($29 million after tax, or $.10 per share). The actuarial gains and losses related to the remeasurements of U.S. and Canadian pension plans. These interim remeasurements were each due to lump sum distributions that exceeded or are expected to exceed service and interest costs resulting in settlement accounting for the plans;</w:t>
      </w:r>
    </w:p>
    <w:p>
      <w:pPr>
        <w:spacing w:after="0" w:line="6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2022, we recorded a loss in Interest expense of $4 million ($3 million after tax, or $.01 per share) on the extinguishment of debt;</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2022, we recognized losses in Cost of products sold of $5 million ($4 million after tax, or $.01 per share) associated with unrealized mark-to-market adjustments on outstanding undesignated commodity hedges. Year-to-date in 2022, we recognized losses in Cost of products sold of $8 million ($6 million after tax, or $.02 per share) associated with unrealized mark-to-market adjustments on outstanding undesignated commodity hedges. In the third quarter of 2021, we recognized gains in Cost of products sold of $22 million ($17 million after tax, or $.06 per share) associated with unrealized mark-to-market adjustments on outstanding undesignated commodity hedges. Year-to-date in 2021, we recognized gains in Cost of products sold of $39 million ($30 million after tax, or $.10 per share) associated with unrealized mark-to-market adjustments on outstanding undesignated commodity hedges; and</w:t>
      </w:r>
    </w:p>
    <w:p>
      <w:pPr>
        <w:spacing w:after="0" w:line="5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2021, we recorded a $19 million ($.06 per share) deferred tax charge in connection with a legal entity reorganization as part of the continued integration of Snyder's-Lance, Inc. (Snyder's-Lance).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6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0" w:type="dxa"/>
            <w:vAlign w:val="bottom"/>
          </w:tcPr>
          <w:p>
            <w:pPr>
              <w:spacing w:after="0"/>
              <w:rPr>
                <w:sz w:val="1"/>
                <w:szCs w:val="1"/>
                <w:color w:val="auto"/>
              </w:rPr>
            </w:pPr>
          </w:p>
        </w:tc>
      </w:tr>
      <w:tr>
        <w:trPr>
          <w:trHeight w:val="174"/>
        </w:trPr>
        <w:tc>
          <w:tcPr>
            <w:tcW w:w="16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4"/>
        </w:trPr>
        <w:tc>
          <w:tcPr>
            <w:tcW w:w="164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Earnings from continuing operations attributable to Campbell Soup Company</w:t>
            </w:r>
          </w:p>
        </w:tc>
        <w:tc>
          <w:tcPr>
            <w:tcW w:w="1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14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6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52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Continuing operations:</w:t>
            </w: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640" w:type="dxa"/>
            <w:vAlign w:val="bottom"/>
            <w:tcBorders>
              <w:left w:val="single" w:sz="8" w:color="CCEEFF"/>
            </w:tcBorders>
            <w:shd w:val="clear" w:color="auto" w:fill="000000"/>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55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actuarial gains (losses)</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5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items on Earnings from continuing operations</w:t>
            </w:r>
          </w:p>
        </w:tc>
        <w:tc>
          <w:tcPr>
            <w:tcW w:w="1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20" w:type="dxa"/>
            <w:vAlign w:val="bottom"/>
            <w:vMerge w:val="restart"/>
          </w:tcPr>
          <w:p>
            <w:pPr>
              <w:jc w:val="right"/>
              <w:ind w:right="1132"/>
              <w:spacing w:after="0"/>
              <w:rPr>
                <w:sz w:val="20"/>
                <w:szCs w:val="20"/>
                <w:color w:val="auto"/>
              </w:rPr>
            </w:pPr>
            <w:r>
              <w:rPr>
                <w:rFonts w:ascii="Times New Roman" w:cs="Times New Roman" w:eastAsia="Times New Roman" w:hAnsi="Times New Roman"/>
                <w:sz w:val="18"/>
                <w:szCs w:val="18"/>
                <w:color w:val="auto"/>
                <w:w w:val="99"/>
              </w:rPr>
              <w:t>25</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16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6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16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16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May 2, 2021</w:t>
            </w:r>
          </w:p>
        </w:tc>
      </w:tr>
      <w:tr>
        <w:trPr>
          <w:trHeight w:val="174"/>
        </w:trPr>
        <w:tc>
          <w:tcPr>
            <w:tcW w:w="16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19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16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4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r>
        <w:trPr>
          <w:trHeight w:val="198"/>
        </w:trPr>
        <w:tc>
          <w:tcPr>
            <w:tcW w:w="6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(.02)</w:t>
            </w: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3"/>
        </w:trPr>
        <w:tc>
          <w:tcPr>
            <w:tcW w:w="694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Campbell Soup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16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6"/>
        </w:trPr>
        <w:tc>
          <w:tcPr>
            <w:tcW w:w="694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40"/>
        </w:trPr>
        <w:tc>
          <w:tcPr>
            <w:tcW w:w="1640" w:type="dxa"/>
            <w:vAlign w:val="bottom"/>
            <w:tcBorders>
              <w:left w:val="single" w:sz="8" w:color="CCEEFF"/>
            </w:tcBorders>
            <w:shd w:val="clear" w:color="auto" w:fill="000000"/>
          </w:tcPr>
          <w:p>
            <w:pPr>
              <w:spacing w:after="0"/>
              <w:rPr>
                <w:sz w:val="3"/>
                <w:szCs w:val="3"/>
                <w:color w:val="auto"/>
              </w:rPr>
            </w:pPr>
          </w:p>
        </w:tc>
        <w:tc>
          <w:tcPr>
            <w:tcW w:w="5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225"/>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charges, implementation costs and other related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actuarial gains (losses)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charge</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6940" w:type="dxa"/>
            <w:vAlign w:val="bottom"/>
            <w:tcBorders>
              <w:top w:val="single" w:sz="8" w:color="CCEEFF"/>
              <w:left w:val="single" w:sz="8" w:color="CCEEFF"/>
              <w:bottom w:val="single" w:sz="8" w:color="CCEEFF"/>
            </w:tcBorders>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Earnings from continuing operations</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7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Earnings from continuing operations were $188 million ($.62 per share) in the current quarter, compared to $166 million ($.54 per share) in the year-ago quarter. After adjusting for items impacting comparability, earnings from continuing operations increased reflecting an improved gross profit performance, lower marketing and selling expenses and lower interest expense, partially offset by sales volume declines and lower other income. Earnings per share benefited from a reduction in the weighted average diluted shares outstanding.</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Earnings from continuing operations were $661 million ($2.18 per share) in the nine-month period this year, compared to $720 million ($2.36 per share) in the year-ago period. After adjusting for items impacting comparability, earnings from continuing operations decreased reflecting sales volume declines, lower other income and higher administrative expenses, partially offset by lower marketing and selling expenses, an improved gross profit performance, lower interest expense and a lower effective tax rate. Earnings per share benefited from a reduction in the weighted average diluted shares outstanding.</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THIRD-QUARTER DISCUSSION AND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May 1, 2022</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7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00" w:type="dxa"/>
            <w:vAlign w:val="bottom"/>
          </w:tcPr>
          <w:p>
            <w:pPr>
              <w:spacing w:after="0"/>
              <w:rPr>
                <w:sz w:val="17"/>
                <w:szCs w:val="17"/>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Snacks</w:t>
            </w:r>
            <w:r>
              <w:rPr>
                <w:rFonts w:ascii="Times New Roman" w:cs="Times New Roman" w:eastAsia="Times New Roman" w:hAnsi="Times New Roman"/>
                <w:sz w:val="9"/>
                <w:szCs w:val="9"/>
                <w:b w:val="1"/>
                <w:bCs w:val="1"/>
                <w:color w:val="auto"/>
                <w:w w:val="98"/>
              </w:rPr>
              <w:t>(2)</w:t>
            </w: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4"/>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w w:val="99"/>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200" w:type="dxa"/>
            <w:vAlign w:val="bottom"/>
          </w:tcPr>
          <w:p>
            <w:pPr>
              <w:spacing w:after="0"/>
              <w:rPr>
                <w:sz w:val="19"/>
                <w:szCs w:val="19"/>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8"/>
                <w:szCs w:val="18"/>
                <w:color w:val="auto"/>
                <w:w w:val="88"/>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88"/>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Decreased / (increased) promotional spending</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Divestiture</w:t>
            </w:r>
          </w:p>
        </w:tc>
        <w:tc>
          <w:tcPr>
            <w:tcW w:w="200" w:type="dxa"/>
            <w:vAlign w:val="bottom"/>
          </w:tcPr>
          <w:p>
            <w:pPr>
              <w:spacing w:after="0"/>
              <w:rPr>
                <w:sz w:val="19"/>
                <w:szCs w:val="19"/>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5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w w:val="99"/>
              </w:rPr>
              <w:t>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9"/>
              </w:rPr>
              <w:t>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revenue reductions from trade promotion and consumer coupon redemption programs.</w:t>
      </w:r>
    </w:p>
    <w:p>
      <w:pPr>
        <w:ind w:left="320" w:hanging="314"/>
        <w:spacing w:after="0" w:line="191" w:lineRule="auto"/>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6" w:name="page27"/>
    <w:bookmarkEnd w:id="26"/>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increased 6%. Excluding the impact from the divestiture of the Plum baby food and snacks business, sales increased primarily due to increases in U.S. soup, foodservice and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partially offset by declines in Canada. Inflation-driven pricing and sales allowances were partially offset by increased promotional spending. Volume decreased primarily due to supply constraints driven by labor and materials availability and price elasticities, partially offset by retailer inventory rebuild. Sales of U.S. soup increased 15% due to increases in condensed soups and ready-to-serve soups, while broth was comparable to prior year.</w:t>
      </w:r>
    </w:p>
    <w:p>
      <w:pPr>
        <w:spacing w:after="0" w:line="5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Snacks, sales increased 8% while sales of our power brands increased 13%. Snacks sales increased due to increases in salty snacks, primarily </w:t>
      </w:r>
      <w:r>
        <w:rPr>
          <w:rFonts w:ascii="Times New Roman" w:cs="Times New Roman" w:eastAsia="Times New Roman" w:hAnsi="Times New Roman"/>
          <w:sz w:val="18"/>
          <w:szCs w:val="18"/>
          <w:i w:val="1"/>
          <w:iCs w:val="1"/>
          <w:color w:val="auto"/>
        </w:rPr>
        <w:t>Snyder’s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Hanover </w:t>
      </w:r>
      <w:r>
        <w:rPr>
          <w:rFonts w:ascii="Times New Roman" w:cs="Times New Roman" w:eastAsia="Times New Roman" w:hAnsi="Times New Roman"/>
          <w:sz w:val="18"/>
          <w:szCs w:val="18"/>
          <w:color w:val="auto"/>
        </w:rPr>
        <w:t>pretzels and</w:t>
      </w:r>
      <w:r>
        <w:rPr>
          <w:rFonts w:ascii="Times New Roman" w:cs="Times New Roman" w:eastAsia="Times New Roman" w:hAnsi="Times New Roman"/>
          <w:sz w:val="18"/>
          <w:szCs w:val="18"/>
          <w:i w:val="1"/>
          <w:iCs w:val="1"/>
          <w:color w:val="auto"/>
        </w:rPr>
        <w:t xml:space="preserve"> Kettle Brand </w:t>
      </w:r>
      <w:r>
        <w:rPr>
          <w:rFonts w:ascii="Times New Roman" w:cs="Times New Roman" w:eastAsia="Times New Roman" w:hAnsi="Times New Roman"/>
          <w:sz w:val="18"/>
          <w:szCs w:val="18"/>
          <w:color w:val="auto"/>
        </w:rPr>
        <w:t>potato chips, as well as in cookies and crackers, primarily</w:t>
      </w:r>
      <w:r>
        <w:rPr>
          <w:rFonts w:ascii="Times New Roman" w:cs="Times New Roman" w:eastAsia="Times New Roman" w:hAnsi="Times New Roman"/>
          <w:sz w:val="18"/>
          <w:szCs w:val="18"/>
          <w:i w:val="1"/>
          <w:iCs w:val="1"/>
          <w:color w:val="auto"/>
        </w:rPr>
        <w:t xml:space="preserve"> Goldfish </w:t>
      </w:r>
      <w:r>
        <w:rPr>
          <w:rFonts w:ascii="Times New Roman" w:cs="Times New Roman" w:eastAsia="Times New Roman" w:hAnsi="Times New Roman"/>
          <w:sz w:val="18"/>
          <w:szCs w:val="18"/>
          <w:color w:val="auto"/>
        </w:rPr>
        <w:t>crackers. Inflation-driven pricing and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and decreased promotional spending were partly offset by volume declines. Volumes declined driven by supply constraints based on materials availability and price elasticities, partially offset by retailer inventory rebuild.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$37 million in 2022 from 2021. As a percent of sales, gross profit was 31.2% in 2022 and 31.7% in 2021.</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50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9"/>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(910)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level of promotional spending</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110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790</w:t>
            </w:r>
          </w:p>
        </w:tc>
      </w:tr>
      <w:tr>
        <w:trPr>
          <w:trHeight w:val="218"/>
        </w:trPr>
        <w:tc>
          <w:tcPr>
            <w:tcW w:w="99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w:t>
            </w:r>
          </w:p>
        </w:tc>
      </w:tr>
      <w:tr>
        <w:trPr>
          <w:trHeight w:val="20"/>
        </w:trPr>
        <w:tc>
          <w:tcPr>
            <w:tcW w:w="9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0" w:lineRule="exact"/>
        <w:rPr>
          <w:sz w:val="20"/>
          <w:szCs w:val="20"/>
          <w:color w:val="auto"/>
        </w:rPr>
      </w:pPr>
    </w:p>
    <w:p>
      <w:pPr>
        <w:jc w:val="both"/>
        <w:ind w:left="320" w:hanging="314"/>
        <w:spacing w:after="0" w:line="227" w:lineRule="auto"/>
        <w:tabs>
          <w:tab w:leader="none" w:pos="30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100 basis points related to the weather event in the prior year and 20 basis points from the benefit of cost savings initiatives, which were more than offset by cost inflation and other factors, including a 140 basis-point impact from the change in unrealized mark-to-market adjustments on outstanding undesignated commodity hedges.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Marketing and selling expenses as a percent of sales were 8.8% in 2022 compared to 10.2% in 2021. Marketing and selling expenses decreased 7% in 2022 from 2021. The decrease was primarily due to lower advertising and consumer promotion expense (approximately 8 points). The reduction in advertising and consumer promotion expense was due in part to the pacing of supply recovery in the current quarter and some on-going materials availability issues.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7.1% in 2022 compared to 7.7% in 2021. Administrative expenses decreased 1% in 2022 from 2021. The decrease was primarily due to lower costs associated with cost savings initiatives (approximately 4 points), partially offset by expenses related to the settlement of certain legal claims (approximately 3 points).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expenses was $10 million in 2022 compared to other income of $23 million in 2021. Other expenses in 2022 included pension actuarial losses of $16 million. Other income in 2021 included pension actuarial gains of $4 million. Excluding these amounts, the remaining decrease in other income was primarily due to income from transition services fees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20% in 2022 from 2021.</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Pr>
          <w:p>
            <w:pPr>
              <w:spacing w:after="0"/>
              <w:rPr>
                <w:sz w:val="16"/>
                <w:szCs w:val="16"/>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0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8"/>
        </w:trPr>
        <w:tc>
          <w:tcPr>
            <w:tcW w:w="74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20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to the Consolidated Financial Statements for additional information on restructuring charges.</w:t>
      </w:r>
    </w:p>
    <w:p>
      <w:pPr>
        <w:spacing w:after="0" w:line="7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Meals &amp; Beverages increased 18%. The increase was primarily due to improved gross profit performance, partially offset by sales volume declines. Gross profit performance reflected mitigation of on-going inflation with pricing actions, lower other supply chain costs and supply chain productivity improvements, partially offset by unfavorable volume/mix, which was largely due to reduced operating leverage, as well as higher levels of promotional spending. These results also reflect lower base operating earnings in the prior-year third quarter.</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Operating earnings from Snacks increased 25%. The increase was primarily due to improved gross profit performance and lower marketing and selling expenses, partially offset by higher administrative expenses. Gross profit performance reflected mitigation of on-going inflation with pricing actions combined with the results of supply chain productivity improvements, execution improvements and cost savings initiatives, partially offset by some remaining elevated supply chain costs. These results also reflect lower base operating earnings in the prior-year third quarter.</w:t>
      </w:r>
    </w:p>
    <w:p>
      <w:pPr>
        <w:spacing w:after="0" w:line="6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Corporate expense in 2022 included pension actuarial losses of $16 million, costs of $6 million related to costs savings initiatives, and unrealized mark-to-market losses on outstanding undesignated commodity hedges of $5 million. Corporate expense in 2021 included costs of $13 million related to cost savings initiatives, pension actuarial gains of $4 million and unrealized mark-to-market gains on outstanding undesignated commodity hedges of $22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decreased to $51 million in 2022 from $53 million in 2021, primarily due to lower levels of debt, partially offset by a loss on extinguishment of debt of $4 million in the current quarter.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23.0% in 2022 and 24.2% in 2021. The decrease in the effective tax rate was primarily due to state tax law changes in the prior year.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3480" w:type="dxa"/>
            <w:vAlign w:val="bottom"/>
            <w:vMerge w:val="continue"/>
          </w:tcPr>
          <w:p>
            <w:pPr>
              <w:spacing w:after="0"/>
              <w:rPr>
                <w:sz w:val="16"/>
                <w:szCs w:val="16"/>
                <w:color w:val="auto"/>
              </w:rPr>
            </w:pPr>
          </w:p>
        </w:tc>
        <w:tc>
          <w:tcPr>
            <w:tcW w:w="4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40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4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1692"/>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34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18"/>
                <w:szCs w:val="18"/>
                <w:b w:val="1"/>
                <w:bCs w:val="1"/>
                <w:color w:val="auto"/>
                <w:vertAlign w:val="superscript"/>
              </w:rPr>
              <w:t>(2)</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9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(6)%</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Decreased / (increased) promotional spending</w:t>
            </w:r>
            <w:r>
              <w:rPr>
                <w:rFonts w:ascii="Times New Roman" w:cs="Times New Roman" w:eastAsia="Times New Roman" w:hAnsi="Times New Roman"/>
                <w:sz w:val="22"/>
                <w:szCs w:val="22"/>
                <w:color w:val="auto"/>
                <w:vertAlign w:val="superscript"/>
              </w:rPr>
              <w:t>(1)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Divestiture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43"/>
        </w:trPr>
        <w:tc>
          <w:tcPr>
            <w:tcW w:w="748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revenue reductions from trade promotion and consumer coupon redemption programs.</w:t>
      </w:r>
    </w:p>
    <w:p>
      <w:pPr>
        <w:ind w:left="320" w:hanging="314"/>
        <w:spacing w:after="0" w:line="191" w:lineRule="auto"/>
        <w:tabs>
          <w:tab w:leader="none" w:pos="32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Meals &amp; Beverages, sales decreased 2%. Excluding the impact from the divestiture of the Plum baby food and snacks business, sales were comparable to the prior year as increases in U.S. soup were offset by declines in Canada. Inflation-driven pricing and sales allowances were partially offset by increased promotional spending relative to moderated levels in the prior year. Volume decreased primarily due to supply constraints driven by labor and materials availability. Sales of U.S. soup increased 2%, due to increases in ready-to-serve soups, broth and condensed soups.</w:t>
      </w:r>
    </w:p>
    <w:p>
      <w:pPr>
        <w:spacing w:after="0" w:line="64" w:lineRule="exact"/>
        <w:rPr>
          <w:sz w:val="20"/>
          <w:szCs w:val="20"/>
          <w:color w:val="auto"/>
        </w:rPr>
      </w:pPr>
    </w:p>
    <w:p>
      <w:pPr>
        <w:ind w:right="100" w:firstLine="318"/>
        <w:spacing w:after="0" w:line="238" w:lineRule="auto"/>
        <w:rPr>
          <w:sz w:val="20"/>
          <w:szCs w:val="20"/>
          <w:color w:val="auto"/>
        </w:rPr>
      </w:pPr>
      <w:r>
        <w:rPr>
          <w:rFonts w:ascii="Times New Roman" w:cs="Times New Roman" w:eastAsia="Times New Roman" w:hAnsi="Times New Roman"/>
          <w:sz w:val="18"/>
          <w:szCs w:val="18"/>
          <w:color w:val="auto"/>
        </w:rPr>
        <w:t xml:space="preserve">In Snacks, sales increased 2% while sales of our power brands increased 6%. Snacks sales increased due to increases in cookies and crackers, primarily </w:t>
      </w:r>
      <w:r>
        <w:rPr>
          <w:rFonts w:ascii="Times New Roman" w:cs="Times New Roman" w:eastAsia="Times New Roman" w:hAnsi="Times New Roman"/>
          <w:sz w:val="18"/>
          <w:szCs w:val="18"/>
          <w:i w:val="1"/>
          <w:iCs w:val="1"/>
          <w:color w:val="auto"/>
        </w:rPr>
        <w:t xml:space="preserve">Goldfish </w:t>
      </w:r>
      <w:r>
        <w:rPr>
          <w:rFonts w:ascii="Times New Roman" w:cs="Times New Roman" w:eastAsia="Times New Roman" w:hAnsi="Times New Roman"/>
          <w:sz w:val="18"/>
          <w:szCs w:val="18"/>
          <w:color w:val="auto"/>
        </w:rPr>
        <w:t>crackers, partially offset by declines in non-core businesses. Sales of salty snacks increased slightly with increases in</w:t>
      </w:r>
      <w:r>
        <w:rPr>
          <w:rFonts w:ascii="Times New Roman" w:cs="Times New Roman" w:eastAsia="Times New Roman" w:hAnsi="Times New Roman"/>
          <w:sz w:val="18"/>
          <w:szCs w:val="18"/>
          <w:i w:val="1"/>
          <w:iCs w:val="1"/>
          <w:color w:val="auto"/>
        </w:rPr>
        <w:t xml:space="preserve"> Snyder’s of Hanover </w:t>
      </w:r>
      <w:r>
        <w:rPr>
          <w:rFonts w:ascii="Times New Roman" w:cs="Times New Roman" w:eastAsia="Times New Roman" w:hAnsi="Times New Roman"/>
          <w:sz w:val="18"/>
          <w:szCs w:val="18"/>
          <w:color w:val="auto"/>
        </w:rPr>
        <w:t>pretzels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mostly offset by declines in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Inflation-driven pricing and sales allowances and decreased promotional spending were partly offset by volume declines. Volumes declined driven by supply constraints due to labor and materials availability and price elasticities, partially offset by retailer inventory rebuild</w:t>
      </w:r>
      <w:r>
        <w:rPr>
          <w:rFonts w:ascii="Calibri" w:cs="Calibri" w:eastAsia="Calibri" w:hAnsi="Calibri"/>
          <w:sz w:val="18"/>
          <w:szCs w:val="18"/>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decreased by $168 million in 2022 from 2021. As a percent of sales, gross profit was 31.3% in 2022 and 33.7% in 2021.</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240 basis-point decrease in gross profit margin was due to the following factors: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9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(730)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level of promotional spending</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restructuring-related costs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120</w:t>
            </w:r>
          </w:p>
        </w:tc>
      </w:tr>
      <w:tr>
        <w:trPr>
          <w:trHeight w:val="225"/>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Price and sales allowances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490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(240)</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63" w:lineRule="exact"/>
        <w:rPr>
          <w:sz w:val="20"/>
          <w:szCs w:val="20"/>
          <w:color w:val="auto"/>
        </w:rPr>
      </w:pPr>
    </w:p>
    <w:p>
      <w:pPr>
        <w:jc w:val="both"/>
        <w:ind w:left="320" w:hanging="314"/>
        <w:spacing w:after="0" w:line="231"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30 basis points from the benefit of cost savings initiatives, which was more than offset by cost inflation and other factors, including a 70 basis-point impact from the change in unrealized mark-to-market adjustments on outstanding undesignated commodity hedges.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8.4% in 2022 compared to 9.7% in 2021. Marketing and selling expenses decreased 14% in 2022 from 2021. The decrease was primarily due to lower advertising and consumer promotion expense (approximately 13 points). The reduction in advertising and consumer promotion expense was due in part to the pacing of supply recovery in the current year and some on-going materials availability issues.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6.9% in 2022 compared to 6.8% in 2021. Administrative expenses were comparable in 2022 with 2021. The change was primarily due to expenses related to the settlement of certain legal claims (approximately 4 points), partially offset by increased benefits from cost savings initiatives (approximately 3 points).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income was $10 million in 2022 compared to other income of $86 million in 2021. Other income included pension actuarial losses of $12 million in 2022 and pension actuarial gains of $38 million in 2021. Excluding these amounts, the remaining decrease in other income was primarily due to income from transition services fees in the prior year.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6% in 2022 from 2021.</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Pr>
          <w:p>
            <w:pPr>
              <w:spacing w:after="0"/>
              <w:rPr>
                <w:sz w:val="16"/>
                <w:szCs w:val="16"/>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713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to the Consolidated Financial Statements for additional information on restructuring charges.</w:t>
      </w:r>
    </w:p>
    <w:p>
      <w:pPr>
        <w:spacing w:after="0" w:line="80" w:lineRule="exact"/>
        <w:rPr>
          <w:sz w:val="20"/>
          <w:szCs w:val="20"/>
          <w:color w:val="auto"/>
        </w:rPr>
      </w:pPr>
    </w:p>
    <w:p>
      <w:pPr>
        <w:jc w:val="both"/>
        <w:ind w:right="20" w:firstLine="318"/>
        <w:spacing w:after="0" w:line="266" w:lineRule="auto"/>
        <w:rPr>
          <w:sz w:val="20"/>
          <w:szCs w:val="20"/>
          <w:color w:val="auto"/>
        </w:rPr>
      </w:pPr>
      <w:r>
        <w:rPr>
          <w:rFonts w:ascii="Times New Roman" w:cs="Times New Roman" w:eastAsia="Times New Roman" w:hAnsi="Times New Roman"/>
          <w:sz w:val="18"/>
          <w:szCs w:val="18"/>
          <w:color w:val="auto"/>
        </w:rPr>
        <w:t>Operating earnings from Meals &amp; Beverages decreased 9%. The decrease was primarily due to sales volume declines, partially offset by lower marketing and selling expenses.</w:t>
      </w:r>
    </w:p>
    <w:p>
      <w:pPr>
        <w:spacing w:after="0" w:line="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Operating earnings from Snacks were comparable to the prior year. Lower marketing and selling expenses and improved profit performance were offset by sales volume declines and higher administrative expenses due to the settlement of certain legal claims. Gross profit performance was impacted by higher cost inflation and other supply chain costs and unfavorable volume/mix, which was largely due to reduced operating leverage, partially offset by the impact of pricing actions and lower promotional spending combined with the results of supply chain productivity improvements and cost savings initiatives.</w:t>
      </w:r>
    </w:p>
    <w:p>
      <w:pPr>
        <w:spacing w:after="0" w:line="3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Corporate expense in 2022 included costs of $15 million related to costs savings initiatives, pension actuarial losses of $12 million and unrealized mark-to-market losses on outstanding undesignated commodity hedges of $8 million. Corporate expense in 2021 included costs of $22 million related to cost savings initiatives, pension actuarial gains of $38 million and unrealized mark-to-market gains on outstanding undesignated commodity hedges of $39 million.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decreased to $144 million in 2022 from $163 million in 2021 primarily due to lower levels of debt, partially offset by a loss on extinguishment of debt of $4 million in the third quarter of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22.2% in 2022 and 25.9% in 2021. The decrease in the effective tax rate was primarily due to a $19 million deferred tax charge recognized in the second quarter of 2021 in connection with a legal entity reorganization as part of the continued integration of Snyder's-Lance and the favorable resolution of several tax matters in the first quarter of 2022.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Cost Savings Initiatives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Cost Transformation Program and Integration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including closing our manufacturing facility in Toronto, Ontario, as well as our information technology infrastructure.</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0" w:name="page31"/>
    <w:bookmarkEnd w:id="30"/>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2022, we expanded these initiatives as we continue to pursue cost savings by further optimizing our supply chain and manufacturing network and through effective cost management. Cost estimates for these expanded initiatives, as well as timing for certain activities, are continuing to be developed.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charges recorded in Earnings from continuing operations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240" w:type="dxa"/>
            <w:vAlign w:val="bottom"/>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gridSpan w:val="3"/>
            <w:vMerge w:val="restart"/>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Recognized as of May 1,</w:t>
            </w:r>
          </w:p>
        </w:tc>
        <w:tc>
          <w:tcPr>
            <w:tcW w:w="0" w:type="dxa"/>
            <w:vAlign w:val="bottom"/>
          </w:tcPr>
          <w:p>
            <w:pPr>
              <w:spacing w:after="0"/>
              <w:rPr>
                <w:sz w:val="1"/>
                <w:szCs w:val="1"/>
                <w:color w:val="auto"/>
              </w:rPr>
            </w:pPr>
          </w:p>
        </w:tc>
      </w:tr>
      <w:tr>
        <w:trPr>
          <w:trHeight w:val="11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200" w:type="dxa"/>
            <w:vAlign w:val="bottom"/>
          </w:tcPr>
          <w:p>
            <w:pPr>
              <w:spacing w:after="0"/>
              <w:rPr>
                <w:sz w:val="9"/>
                <w:szCs w:val="9"/>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20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200" w:type="dxa"/>
            <w:vAlign w:val="bottom"/>
          </w:tcPr>
          <w:p>
            <w:pPr>
              <w:spacing w:after="0"/>
              <w:rPr>
                <w:sz w:val="9"/>
                <w:szCs w:val="9"/>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May 1, 2022</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May 2, 2021</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30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in Earnings from continuing operations associated with these initiatives is as follows: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 May 1,</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associated with continuing operations that have been identified are approximately $725 million to $735 million and we expect to incur substantially all of the costs through 2022. These estimates will be updated as the expanded initiatives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actions associated with continuing operations that have been identified to date to consist of the following: approximately $225 million in severance pay and benefits; approximately $85 million in asset impairment and accelerated depreciation; and approximately $415 million to $425 million in implementation costs and other related costs. We expect these pre-tax costs to be associated with our segments as follows: Meals &amp; Beverages - approximately 31%; Snacks - approximately 43%; and Corporate - approximately 26%.</w:t>
      </w:r>
    </w:p>
    <w:p>
      <w:pPr>
        <w:spacing w:after="0" w:line="4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Of the aggregate $725 million to $735 million of pre-tax costs associated with continuing operations identified to date, we expect approximately $625 million to $635 million will be cash expenditures. In addition, we expect to invest approximately $440 million in capital expenditures, of which we invested $433 million as of May 1, 2022. We expect to invest in substantially all of the capital expenditures through 2022. The capital expenditures primarily relate to a U.S. warehouse optimization project, improvement of quality, safety and cost structure across the Snyder’s-Lance manufacturing network, implementation of our existing SAP enterprise-resource planning system for Snyder's-Lance, transition of production of the Toronto manufacturing facility to our U.S. thermal plants, optimization of information technology infrastructure and applications, and optimization of the Snyder’s-Lance warehouse and distribution network.</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to fund the costs through cash flows from operations and short-term borrowings.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for actions associated with continuing operations, once all phases are implemented, to generate annual ongoing savings of approximately $1,000 million by the end of 2025. As of May 1, 2022, we have generated total program-to-date pre-tax savings of $840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May 1, 2022</w:t>
            </w: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0" w:type="dxa"/>
            <w:vAlign w:val="bottom"/>
          </w:tcPr>
          <w:p>
            <w:pPr>
              <w:spacing w:after="0"/>
              <w:rPr>
                <w:sz w:val="1"/>
                <w:szCs w:val="1"/>
                <w:color w:val="auto"/>
              </w:rPr>
            </w:pP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in the second quarter of 2021, we recorded a $19 million deferred tax charge in connection with a legal entity reorganization as part of the continued integration of Snyder's-Lance.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$1,101 million in 2022, compared to $881 million in 2021. The increase in 2022 was primarily due to changes in working capital, partially offset by lower cash earnings.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Current assets are less than current liabilities as a result of our level of current maturities of long-term debt and short-term borrowings and our focus to lower core working capital requirements. We had negative working capital of $847 million as of May 1, 2022, and $119 million as of August 1, 2021. Total debt maturing within one year was $750 million as of May 1, 2022, and $48 million as of August 1, 2021.</w:t>
      </w:r>
    </w:p>
    <w:p>
      <w:pPr>
        <w:spacing w:after="0" w:line="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Capital expenditures were $179 million in 2022 and $190 million in 2021. Capital expenditures are expected to total approximately $275 million in 2022. Capital expenditures in the first nine months of 2022 included improvement of the quality and cost structure of the Snyder's-Lance manufacturing network, the implementation of our existing SAP enterprise-resource planning system for Snyder's-Lance, and cookie and cracker capacity expansion for our Snacks business.</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March 4, 2022, we completed the redemption of all $450 million outstanding aggregate principal amount of our 2.50% Senior Notes due August 2, 2022. The consideration for the redemption was $453 million, including $3 million of premium. We recognized a loss of $4 million (including the $3 million of premium and other costs), which was recorded in Interest expense in the Consolidated Statement of Earnings. In addition, we paid accrued and unpaid interest on the redeemed notes through the date of settlement. We used a combination of cash on hand and short-term debt to fund the redemption.</w:t>
      </w:r>
    </w:p>
    <w:p>
      <w:pPr>
        <w:spacing w:after="0" w:line="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Dividend payments were $340 million in 2022 and $327 million in 2021. The regular quarterly dividend paid on our capital stock was $.37 per share in both the third quarter of 2022 and 2021. On March 2, 2022, the Board of Directors declared a regular quarterly dividend of $.37 per share payable on May 2, 2022 to shareholders of record at the close of business on April 7, 2022. On May 24, 2022, the Board of Directors declared a regular quarterly dividend of $.37 per share payable on August 1, 2022 to shareholders of record at the close of business on July 7, 2022.</w:t>
      </w:r>
    </w:p>
    <w:p>
      <w:pPr>
        <w:spacing w:after="0" w:line="6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We repurchased approximately 2.7 million shares at a cost of $116 million in 2022. Of this amount, $41 million was used to repurchase shares pursuant to our June 2021 program and $75 million was used to repurchase shares pursuant to our September 2021 program. As of May 1, 2022, approximately $173 million remained available under the June 2021 program and approximately $425 million remained available under the September 2021 program. See Note 13 to the Consolidated Financial Statements and “Unregistered Sales of Equity Securities and Use of Proceeds” for additional information.</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May 1, 2022, we had $750 million of short-term borrowings due within one year, $170 million of which was comprised of commercial paper borrowings. As of May 1, 2022, we issued $32 million of standby letters of credit. 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2" w:name="page33"/>
    <w:bookmarkEnd w:id="32"/>
    <w:p>
      <w:pPr>
        <w:jc w:val="both"/>
        <w:spacing w:after="0" w:line="249" w:lineRule="auto"/>
        <w:rPr>
          <w:sz w:val="20"/>
          <w:szCs w:val="20"/>
          <w:color w:val="auto"/>
        </w:rPr>
      </w:pPr>
      <w:r>
        <w:rPr>
          <w:rFonts w:ascii="Times New Roman" w:cs="Times New Roman" w:eastAsia="Times New Roman" w:hAnsi="Times New Roman"/>
          <w:sz w:val="18"/>
          <w:szCs w:val="18"/>
          <w:color w:val="auto"/>
        </w:rPr>
        <w:t>November 2, 2020, we entered into a committed revolving credit facility totaling $1,850 million scheduled to mature on November 2, 2023. On September 27, 2021, we replaced the facility with a new $1,850 million committed revolving facility that matures on September 27, 2026. The facility remained unused at May 1, 2022, except for $1 million of standby letters of credit that we issued under it. The facility contains customary covenants, including a financial covenant with respect to a minimum consolidated interest coverage ratio of consolidated adjusted EBITDA to consolidated interest expense (as each is defined in the credit facility) of not less than 3.25:1.00, measured quarterly, and customary events of default for credit facilities of this type. Loans under this facility will bear interest at the rates specified in the facility, which vary based on the type of loan and certain other customary conditions.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September 2020, we filed a registration statement with the Securities and Exchange Commission that registered an indeterminate amount of debt securities. Under the registration statement, we may issue debt securities from time to time, depending on market conditions.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87" w:lineRule="exact"/>
        <w:rPr>
          <w:sz w:val="20"/>
          <w:szCs w:val="20"/>
          <w:color w:val="auto"/>
        </w:rPr>
      </w:pPr>
    </w:p>
    <w:p>
      <w:pPr>
        <w:jc w:val="both"/>
        <w:ind w:firstLine="318"/>
        <w:spacing w:after="0" w:line="218"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August 1, 2021 (2021 Annual Report on Form 10-K). The accounting policies we used in preparing these financial statements are substantially consistent with those we applied in our 2021 Annual Report on Form 10-K. Our significant accounting estimates are described in Management’s Discussion and Analysis included in the 2021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2021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and associated responses to the COVID-19 pandemic on our business, suppliers, customers, consumers and employees;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the impacts of the COVID-19 pandemic;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and volatility in financial and credit markets, deteriorating economic conditions and other external factors, including changes in laws and regulations;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armed hostilities (including the ongoing conflict between Russia and Ukraine), extreme weather conditions, natural disasters, other pandemics or other calamities.</w:t>
      </w:r>
    </w:p>
    <w:p>
      <w:pPr>
        <w:spacing w:after="0" w:line="3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2021 Annual Report on Form 10-K. There have been no significant changes in our portfolio of financial instruments or market risk exposures from the 2021 year-end.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May 1, 2022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May 1,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4" w:name="page35"/>
    <w:bookmarkEnd w:id="3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15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disclosure modifies the discussion of risks and uncertainties previously disclosed in our Annual Report on Form 10-K for the year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2021. These risks and uncertainties, along with those previously disclosed, could materially adversely affect our business or financial results.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risks and uncertainties that are not presently known to us or that we deem immaterial may also impair our business or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8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adversely affected by disruptions in the global economy caused by the ongoing conflict between Russia and Ukraine.</w:t>
      </w:r>
    </w:p>
    <w:p>
      <w:pPr>
        <w:spacing w:after="0" w:line="42" w:lineRule="exact"/>
        <w:rPr>
          <w:sz w:val="20"/>
          <w:szCs w:val="20"/>
          <w:color w:val="auto"/>
        </w:rPr>
      </w:pPr>
    </w:p>
    <w:p>
      <w:pPr>
        <w:jc w:val="both"/>
        <w:ind w:right="100" w:firstLine="318"/>
        <w:spacing w:after="0" w:line="239" w:lineRule="auto"/>
        <w:rPr>
          <w:sz w:val="20"/>
          <w:szCs w:val="20"/>
          <w:color w:val="auto"/>
        </w:rPr>
      </w:pPr>
      <w:r>
        <w:rPr>
          <w:rFonts w:ascii="Times New Roman" w:cs="Times New Roman" w:eastAsia="Times New Roman" w:hAnsi="Times New Roman"/>
          <w:sz w:val="18"/>
          <w:szCs w:val="18"/>
          <w:color w:val="auto"/>
        </w:rPr>
        <w:t>The global economy has been negatively impacted by the military conflict between Russia and Ukraine. Furthermore, governments in the U.S., United Kingdom, and European Union have each imposed export controls on certain products and financial and economic sanctions on certain industry sectors and parties in Russia. Although we have no operations in Russia or Ukraine, we have experienced shortages in materials and increased costs for transportation, energy, and raw material due in part to the negative impact of the Russia-Ukraine military conflict on the global economy. The scope and duration of the military conflict in Ukraine is uncertain, rapidly changing and hard to predict. Further escalation of geopolitical tensions related to the military conflict,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 In addition, the effects of the ongoing conflict could heighten many of our known risks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August 1, 2021, filed with the SEC on September 23,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May 1, 2022 was: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tcPr>
          <w:p>
            <w:pPr>
              <w:jc w:val="center"/>
              <w:ind w:left="144"/>
              <w:spacing w:after="0" w:line="144"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04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20" w:type="dxa"/>
            <w:vAlign w:val="bottom"/>
          </w:tcPr>
          <w:p>
            <w:pPr>
              <w:jc w:val="center"/>
              <w:ind w:left="124"/>
              <w:spacing w:after="0" w:line="133"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20" w:type="dxa"/>
            <w:vAlign w:val="bottom"/>
          </w:tcPr>
          <w:p>
            <w:pPr>
              <w:jc w:val="center"/>
              <w:ind w:left="144"/>
              <w:spacing w:after="0" w:line="146"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9"/>
                <w:szCs w:val="9"/>
                <w:b w:val="1"/>
                <w:bCs w:val="1"/>
                <w:color w:val="auto"/>
                <w:w w:val="98"/>
              </w:rPr>
              <w:t>(1)</w:t>
            </w:r>
          </w:p>
        </w:tc>
        <w:tc>
          <w:tcPr>
            <w:tcW w:w="1500" w:type="dxa"/>
            <w:vAlign w:val="bottom"/>
            <w:gridSpan w:val="2"/>
          </w:tcPr>
          <w:p>
            <w:pPr>
              <w:jc w:val="center"/>
              <w:ind w:right="400"/>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9"/>
                <w:szCs w:val="9"/>
                <w:b w:val="1"/>
                <w:bCs w:val="1"/>
                <w:color w:val="auto"/>
              </w:rPr>
              <w:t>(2)</w:t>
            </w:r>
          </w:p>
        </w:tc>
        <w:tc>
          <w:tcPr>
            <w:tcW w:w="2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(3)</w:t>
            </w:r>
          </w:p>
        </w:tc>
        <w:tc>
          <w:tcPr>
            <w:tcW w:w="1420" w:type="dxa"/>
            <w:vAlign w:val="bottom"/>
          </w:tcPr>
          <w:p>
            <w:pPr>
              <w:jc w:val="center"/>
              <w:ind w:left="144"/>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 in Millions) </w:t>
            </w:r>
            <w:r>
              <w:rPr>
                <w:rFonts w:ascii="Times New Roman" w:cs="Times New Roman" w:eastAsia="Times New Roman" w:hAnsi="Times New Roman"/>
                <w:sz w:val="14"/>
                <w:szCs w:val="14"/>
                <w:b w:val="1"/>
                <w:bCs w:val="1"/>
                <w:color w:val="auto"/>
                <w:vertAlign w:val="superscript"/>
              </w:rPr>
              <w:t>(3)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1/31/22-2/28/22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3/1/22-3/31/22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1,158,741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380" w:type="dxa"/>
            <w:vAlign w:val="bottom"/>
          </w:tcPr>
          <w:p>
            <w:pPr>
              <w:spacing w:after="0"/>
              <w:rPr>
                <w:sz w:val="19"/>
                <w:szCs w:val="19"/>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1,158,741</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4/1/22-4/29/22</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1,158,741</w:t>
            </w:r>
          </w:p>
        </w:tc>
        <w:tc>
          <w:tcPr>
            <w:tcW w:w="3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38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1,158,741</w:t>
            </w:r>
          </w:p>
        </w:tc>
        <w:tc>
          <w:tcPr>
            <w:tcW w:w="38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30" w:lineRule="exact"/>
        <w:rPr>
          <w:sz w:val="20"/>
          <w:szCs w:val="20"/>
          <w:color w:val="auto"/>
        </w:rPr>
      </w:pPr>
    </w:p>
    <w:p>
      <w:pPr>
        <w:ind w:left="320" w:hanging="314"/>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ind w:left="320" w:hanging="314"/>
        <w:spacing w:after="0" w:line="191" w:lineRule="auto"/>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w:t>
      </w:r>
    </w:p>
    <w:p>
      <w:pPr>
        <w:spacing w:after="0" w:line="1" w:lineRule="exact"/>
        <w:rPr>
          <w:rFonts w:ascii="Times New Roman" w:cs="Times New Roman" w:eastAsia="Times New Roman" w:hAnsi="Times New Roman"/>
          <w:sz w:val="23"/>
          <w:szCs w:val="23"/>
          <w:color w:val="auto"/>
          <w:vertAlign w:val="superscript"/>
        </w:rPr>
      </w:pPr>
    </w:p>
    <w:p>
      <w:pPr>
        <w:jc w:val="both"/>
        <w:ind w:left="320" w:right="100" w:hanging="314"/>
        <w:spacing w:after="0" w:line="234" w:lineRule="auto"/>
        <w:tabs>
          <w:tab w:leader="none" w:pos="30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sectPr>
      </w:pPr>
    </w:p>
    <w:bookmarkStart w:id="35" w:name="page36"/>
    <w:bookmarkEnd w:id="35"/>
    <w:tbl>
      <w:tblPr>
        <w:tblLayout w:type="fixed"/>
        <w:tblInd w:w="3"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9880" w:type="dxa"/>
            <w:vAlign w:val="bottom"/>
            <w:gridSpan w:val="5"/>
          </w:tcPr>
          <w:p>
            <w:pPr>
              <w:ind w:left="364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44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18 U.S.C. Section 1350.</w:t>
            </w:r>
          </w:p>
        </w:tc>
      </w:tr>
      <w:tr>
        <w:trPr>
          <w:trHeight w:val="20"/>
        </w:trPr>
        <w:tc>
          <w:tcPr>
            <w:tcW w:w="110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18 U.S.C. Section 1350.</w:t>
            </w:r>
          </w:p>
        </w:tc>
      </w:tr>
      <w:tr>
        <w:trPr>
          <w:trHeight w:val="20"/>
        </w:trPr>
        <w:tc>
          <w:tcPr>
            <w:tcW w:w="1100" w:type="dxa"/>
            <w:vAlign w:val="bottom"/>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1103" w:hanging="1103"/>
        <w:spacing w:after="0"/>
        <w:tabs>
          <w:tab w:leader="none" w:pos="11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55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3"/>
          </w:cols>
          <w:pgMar w:left="357" w:top="969" w:right="559" w:bottom="1440" w:gutter="0" w:footer="0" w:header="0"/>
        </w:sectPr>
      </w:pPr>
    </w:p>
    <w:bookmarkStart w:id="36" w:name="page37"/>
    <w:bookmarkEnd w:id="3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2022</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CAMPBELL SOUP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874"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640" w:type="dxa"/>
        <w:tblCellMar>
          <w:top w:w="0" w:type="dxa"/>
          <w:left w:w="0" w:type="dxa"/>
          <w:bottom w:w="0" w:type="dxa"/>
          <w:right w:w="0" w:type="dxa"/>
        </w:tblCellMar>
      </w:tblPr>
      <w:tr>
        <w:trPr>
          <w:trHeight w:val="213"/>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7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Campbell Soup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1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Mick J. Beekhuizen</w:t>
            </w:r>
          </w:p>
        </w:tc>
      </w:tr>
      <w:tr>
        <w:trPr>
          <w:trHeight w:val="225"/>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1"/>
        </w:trPr>
        <w:tc>
          <w:tcPr>
            <w:tcW w:w="66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7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May 1, 2022 (the “Report”), I, Mark A. Clouse,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2022</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1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1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Campbell Soup Company (the “Company”) on Form 10-Q for the fiscal quarter ended May 1, 2022 (the “Report”), I, Mick J. Beekhuizen,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960" w:type="dxa"/>
            <w:vAlign w:val="bottom"/>
            <w:gridSpan w:val="3"/>
          </w:tcPr>
          <w:p>
            <w:pPr>
              <w:ind w:left="5500"/>
              <w:spacing w:after="0"/>
              <w:rPr>
                <w:sz w:val="20"/>
                <w:szCs w:val="20"/>
                <w:color w:val="auto"/>
              </w:rPr>
            </w:pPr>
            <w:r>
              <w:rPr>
                <w:rFonts w:ascii="Times New Roman" w:cs="Times New Roman" w:eastAsia="Times New Roman" w:hAnsi="Times New Roman"/>
                <w:sz w:val="18"/>
                <w:szCs w:val="18"/>
                <w:color w:val="auto"/>
              </w:rPr>
              <w:t>By:   /s/ Mick J. Beekhuizen</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Mick J. Beekhuizen</w:t>
            </w:r>
          </w:p>
        </w:tc>
        <w:tc>
          <w:tcPr>
            <w:tcW w:w="0" w:type="dxa"/>
            <w:vAlign w:val="bottom"/>
          </w:tcPr>
          <w:p>
            <w:pPr>
              <w:spacing w:after="0"/>
              <w:rPr>
                <w:sz w:val="1"/>
                <w:szCs w:val="1"/>
                <w:color w:val="auto"/>
              </w:rPr>
            </w:pPr>
          </w:p>
        </w:tc>
      </w:tr>
      <w:tr>
        <w:trPr>
          <w:trHeight w:val="225"/>
        </w:trPr>
        <w:tc>
          <w:tcPr>
            <w:tcW w:w="594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0" w:type="dxa"/>
            <w:vAlign w:val="bottom"/>
          </w:tcPr>
          <w:p>
            <w:pPr>
              <w:spacing w:after="0"/>
              <w:rPr>
                <w:sz w:val="1"/>
                <w:szCs w:val="1"/>
                <w:color w:val="auto"/>
              </w:rPr>
            </w:pPr>
          </w:p>
        </w:tc>
      </w:tr>
      <w:tr>
        <w:trPr>
          <w:trHeight w:val="231"/>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 June 8, 2022</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106"/>
        </w:trPr>
        <w:tc>
          <w:tcPr>
            <w:tcW w:w="6620" w:type="dxa"/>
            <w:vAlign w:val="bottom"/>
            <w:gridSpan w:val="2"/>
            <w:vMerge w:val="continue"/>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2"/>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4"/>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5"/>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2022-06-08T06:36:14Z</dcterms:created>
  <dcterms:modified xsi:type="dcterms:W3CDTF">2022-06-08T06:36:14Z</dcterms:modified>
</cp:coreProperties>
</file>