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left="4000" w:right="2960" w:hanging="3994"/>
        <w:spacing w:after="0" w:line="248" w:lineRule="auto"/>
        <w:tabs>
          <w:tab w:leader="none" w:pos="18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April 28,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ind w:left="3160" w:right="2960" w:hanging="3154"/>
        <w:spacing w:after="0" w:line="308" w:lineRule="auto"/>
        <w:tabs>
          <w:tab w:leader="none" w:pos="193"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2611755</wp:posOffset>
            </wp:positionH>
            <wp:positionV relativeFrom="paragraph">
              <wp:posOffset>10795</wp:posOffset>
            </wp:positionV>
            <wp:extent cx="1926590" cy="589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6590"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CAMPBELL SOUP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252" w:right="339" w:bottom="1440" w:gutter="0" w:footer="0" w:header="0"/>
        </w:sectPr>
      </w:pPr>
    </w:p>
    <w:p>
      <w:pPr>
        <w:spacing w:after="0" w:line="2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30" w:lineRule="exact"/>
        <w:rPr>
          <w:sz w:val="24"/>
          <w:szCs w:val="24"/>
          <w:color w:val="auto"/>
        </w:rPr>
      </w:pPr>
    </w:p>
    <w:p>
      <w:pPr>
        <w:sectPr>
          <w:pgSz w:w="11900" w:h="16838" w:orient="portrait"/>
          <w:cols w:equalWidth="0" w:num="2">
            <w:col w:w="7260" w:space="720"/>
            <w:col w:w="3260"/>
          </w:cols>
          <w:pgMar w:left="320" w:top="1252"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6500" w:space="720"/>
            <w:col w:w="4020"/>
          </w:cols>
          <w:pgMar w:left="320" w:top="125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Camden, New Jersey 08103-1799</w:t>
      </w:r>
    </w:p>
    <w:p>
      <w:pPr>
        <w:sectPr>
          <w:pgSz w:w="11900" w:h="16838" w:orient="portrait"/>
          <w:cols w:equalWidth="0" w:num="1">
            <w:col w:w="11240"/>
          </w:cols>
          <w:pgMar w:left="320" w:top="1252" w:right="3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(856) 342-4800</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252" w:right="339" w:bottom="1440" w:gutter="0" w:footer="0" w:header="0"/>
          <w:type w:val="continuous"/>
        </w:sectPr>
      </w:pPr>
    </w:p>
    <w:p>
      <w:pPr>
        <w:spacing w:after="0" w:line="4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00" w:space="720"/>
            <w:col w:w="3740"/>
          </w:cols>
          <w:pgMar w:left="320" w:top="1252"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5"/>
          <w:szCs w:val="15"/>
          <w:color w:val="auto"/>
        </w:rPr>
        <w:t>Capital Stock, par value $.0375</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New York Stock Exchange</w:t>
      </w:r>
    </w:p>
    <w:p>
      <w:pPr>
        <w:spacing w:after="0" w:line="200" w:lineRule="exact"/>
        <w:rPr>
          <w:sz w:val="24"/>
          <w:szCs w:val="24"/>
          <w:color w:val="auto"/>
        </w:rPr>
      </w:pPr>
    </w:p>
    <w:p>
      <w:pPr>
        <w:sectPr>
          <w:pgSz w:w="11900" w:h="16838" w:orient="portrait"/>
          <w:cols w:equalWidth="0" w:num="3">
            <w:col w:w="4740" w:space="720"/>
            <w:col w:w="1940" w:space="720"/>
            <w:col w:w="3120"/>
          </w:cols>
          <w:pgMar w:left="320" w:top="1252" w:right="339" w:bottom="1440" w:gutter="0" w:footer="0" w:header="0"/>
          <w:type w:val="continuous"/>
        </w:sectPr>
      </w:pPr>
    </w:p>
    <w:p>
      <w:pPr>
        <w:spacing w:after="0" w:line="12" w:lineRule="exact"/>
        <w:rPr>
          <w:sz w:val="24"/>
          <w:szCs w:val="24"/>
          <w:color w:val="auto"/>
        </w:rPr>
      </w:pPr>
    </w:p>
    <w:p>
      <w:pPr>
        <w:jc w:val="both"/>
        <w:ind w:firstLine="318"/>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2" w:lineRule="exact"/>
        <w:rPr>
          <w:sz w:val="24"/>
          <w:szCs w:val="24"/>
          <w:color w:val="auto"/>
        </w:rPr>
      </w:pPr>
    </w:p>
    <w:p>
      <w:pPr>
        <w:ind w:right="300" w:firstLine="318"/>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ind w:right="20" w:firstLine="318"/>
        <w:spacing w:after="0" w:line="28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740" w:type="dxa"/>
        <w:tblCellMar>
          <w:top w:w="0" w:type="dxa"/>
          <w:left w:w="0" w:type="dxa"/>
          <w:bottom w:w="0" w:type="dxa"/>
          <w:right w:w="0" w:type="dxa"/>
        </w:tblCellMar>
      </w:tblPr>
      <w:tr>
        <w:trPr>
          <w:trHeight w:val="27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13" w:lineRule="exact"/>
        <w:rPr>
          <w:sz w:val="24"/>
          <w:szCs w:val="24"/>
          <w:color w:val="auto"/>
        </w:rPr>
      </w:pPr>
    </w:p>
    <w:p>
      <w:pPr>
        <w:ind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298,553,885 shares of capital stock outstanding as of May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577850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28</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40</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43</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25"/>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2,369</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2,121</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299</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5"/>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68"/>
        </w:trPr>
        <w:tc>
          <w:tcPr>
            <w:tcW w:w="5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558</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558</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60" w:type="dxa"/>
            <w:vAlign w:val="bottom"/>
          </w:tcPr>
          <w:p>
            <w:pPr>
              <w:spacing w:after="0"/>
              <w:rPr>
                <w:sz w:val="16"/>
                <w:szCs w:val="16"/>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4"/>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107</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1,300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2,139</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2,621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5,072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4,875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5"/>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43"/>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15,243</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1,427</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1,330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3,457</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5,752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1,491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628</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11,328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4,685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3,913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3,915</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15,243</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8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Pr>
          <w:p>
            <w:pPr>
              <w:spacing w:after="0"/>
              <w:rPr>
                <w:sz w:val="16"/>
                <w:szCs w:val="16"/>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inventory fair value adjustment from acquisition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acquisition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acquired, net of cash acquired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 and delayed draw term loan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 and delayed draw term loan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borrowings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issuances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9"/>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8"/>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jc w:val="right"/>
              <w:ind w:right="329"/>
              <w:spacing w:after="0" w:line="128" w:lineRule="exact"/>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ind w:right="109"/>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880" w:type="dxa"/>
            <w:vAlign w:val="bottom"/>
            <w:vMerge w:val="restart"/>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5"/>
                <w:szCs w:val="5"/>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880" w:type="dxa"/>
            <w:vAlign w:val="bottom"/>
          </w:tcPr>
          <w:p>
            <w:pPr>
              <w:jc w:val="center"/>
              <w:ind w:right="69"/>
              <w:spacing w:after="0" w:line="12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0"/>
                <w:szCs w:val="10"/>
                <w:color w:val="auto"/>
              </w:rPr>
            </w:pPr>
          </w:p>
        </w:tc>
        <w:tc>
          <w:tcPr>
            <w:tcW w:w="116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0"/>
                <w:szCs w:val="10"/>
                <w:color w:val="auto"/>
              </w:rPr>
            </w:pPr>
          </w:p>
        </w:tc>
        <w:tc>
          <w:tcPr>
            <w:tcW w:w="1120" w:type="dxa"/>
            <w:vAlign w:val="bottom"/>
          </w:tcPr>
          <w:p>
            <w:pPr>
              <w:jc w:val="right"/>
              <w:ind w:right="109"/>
              <w:spacing w:after="0" w:line="12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0"/>
                <w:szCs w:val="10"/>
                <w:color w:val="auto"/>
              </w:rPr>
            </w:pPr>
          </w:p>
        </w:tc>
        <w:tc>
          <w:tcPr>
            <w:tcW w:w="820" w:type="dxa"/>
            <w:vAlign w:val="bottom"/>
          </w:tcPr>
          <w:p>
            <w:pPr>
              <w:jc w:val="right"/>
              <w:ind w:right="289"/>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7"/>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160</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7"/>
              </w:rPr>
              <w:t>(2)</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 stock-</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based compensation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30,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w w:val="97"/>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w w:val="85"/>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755" w:right="35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Net earnings (loss)</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($1.11 per share)</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purchased</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issued under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based compensation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40" w:type="dxa"/>
            <w:vAlign w:val="bottom"/>
          </w:tcPr>
          <w:p>
            <w:pPr>
              <w:jc w:val="right"/>
              <w:ind w:right="1929"/>
              <w:spacing w:after="0"/>
              <w:rPr>
                <w:sz w:val="20"/>
                <w:szCs w:val="20"/>
                <w:color w:val="auto"/>
              </w:rPr>
            </w:pPr>
            <w:r>
              <w:rPr>
                <w:rFonts w:ascii="Times New Roman" w:cs="Times New Roman" w:eastAsia="Times New Roman" w:hAnsi="Times New Roman"/>
                <w:sz w:val="14"/>
                <w:szCs w:val="14"/>
                <w:color w:val="auto"/>
              </w:rPr>
              <w:t>689</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189"/>
        </w:trPr>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(8)</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9"/>
        </w:trPr>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40" w:type="dxa"/>
            <w:vAlign w:val="bottom"/>
          </w:tcPr>
          <w:p>
            <w:pPr>
              <w:jc w:val="right"/>
              <w:ind w:right="1909"/>
              <w:spacing w:after="0"/>
              <w:rPr>
                <w:sz w:val="20"/>
                <w:szCs w:val="20"/>
                <w:color w:val="auto"/>
              </w:rPr>
            </w:pPr>
            <w:r>
              <w:rPr>
                <w:rFonts w:ascii="Times New Roman" w:cs="Times New Roman" w:eastAsia="Times New Roman" w:hAnsi="Times New Roman"/>
                <w:sz w:val="14"/>
                <w:szCs w:val="14"/>
                <w:color w:val="auto"/>
              </w:rPr>
              <w:t>(337)</w:t>
            </w:r>
          </w:p>
        </w:tc>
        <w:tc>
          <w:tcPr>
            <w:tcW w:w="1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99"/>
        </w:trPr>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(3)</w:t>
            </w:r>
          </w:p>
        </w:tc>
        <w:tc>
          <w:tcPr>
            <w:tcW w:w="10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(141)</w:t>
            </w:r>
          </w:p>
        </w:tc>
        <w:tc>
          <w:tcPr>
            <w:tcW w:w="9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331"/>
        </w:trPr>
        <w:tc>
          <w:tcPr>
            <w:tcW w:w="4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60</w:t>
            </w:r>
          </w:p>
        </w:tc>
        <w:tc>
          <w:tcPr>
            <w:tcW w:w="9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(8)</w:t>
            </w:r>
          </w:p>
        </w:tc>
        <w:tc>
          <w:tcPr>
            <w:tcW w:w="2640" w:type="dxa"/>
            <w:vAlign w:val="bottom"/>
          </w:tcPr>
          <w:p>
            <w:pPr>
              <w:jc w:val="right"/>
              <w:ind w:right="19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-572770</wp:posOffset>
            </wp:positionV>
            <wp:extent cx="7117715" cy="12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-320675</wp:posOffset>
            </wp:positionV>
            <wp:extent cx="7117715" cy="126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715" cy="12636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560" w:space="720"/>
            <w:col w:w="6940"/>
          </w:cols>
          <w:pgMar w:left="320" w:top="755" w:right="359" w:bottom="1440" w:gutter="0" w:footer="0" w:header="0"/>
          <w:type w:val="continuous"/>
        </w:sectPr>
      </w:pPr>
    </w:p>
    <w:tbl>
      <w:tblPr>
        <w:tblLayout w:type="fixed"/>
        <w:tblInd w:w="20" w:type="dxa"/>
        <w:tblCellMar>
          <w:top w:w="0" w:type="dxa"/>
          <w:left w:w="0" w:type="dxa"/>
          <w:bottom w:w="0" w:type="dxa"/>
          <w:right w:w="0" w:type="dxa"/>
        </w:tblCellMar>
      </w:tblPr>
      <w:tr>
        <w:trPr>
          <w:trHeight w:val="221"/>
        </w:trPr>
        <w:tc>
          <w:tcPr>
            <w:tcW w:w="2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30, 2023</w:t>
            </w:r>
          </w:p>
        </w:tc>
        <w:tc>
          <w:tcPr>
            <w:tcW w:w="5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(1,219)</w:t>
            </w:r>
          </w:p>
        </w:tc>
        <w:tc>
          <w:tcPr>
            <w:tcW w:w="4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407</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4,392</w:t>
            </w:r>
          </w:p>
        </w:tc>
        <w:tc>
          <w:tcPr>
            <w:tcW w:w="62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28, 2024</w:t>
            </w: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(1,212)</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407</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4,665</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133</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0" w:type="dxa"/>
            <w:vAlign w:val="bottom"/>
          </w:tcPr>
          <w:p>
            <w:pPr>
              <w:spacing w:after="0"/>
              <w:rPr>
                <w:sz w:val="1"/>
                <w:szCs w:val="1"/>
                <w:color w:val="auto"/>
              </w:rPr>
            </w:pPr>
          </w:p>
        </w:tc>
      </w:tr>
      <w:tr>
        <w:trPr>
          <w:trHeight w:val="141"/>
        </w:trPr>
        <w:tc>
          <w:tcPr>
            <w:tcW w:w="22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8</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($.37 per share)</w:t>
            </w: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(113)</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w:t>
            </w:r>
          </w:p>
        </w:tc>
        <w:tc>
          <w:tcPr>
            <w:tcW w:w="0" w:type="dxa"/>
            <w:vAlign w:val="bottom"/>
          </w:tcPr>
          <w:p>
            <w:pPr>
              <w:spacing w:after="0"/>
              <w:rPr>
                <w:sz w:val="1"/>
                <w:szCs w:val="1"/>
                <w:color w:val="auto"/>
              </w:rPr>
            </w:pPr>
          </w:p>
        </w:tc>
      </w:tr>
      <w:tr>
        <w:trPr>
          <w:trHeight w:val="141"/>
        </w:trPr>
        <w:tc>
          <w:tcPr>
            <w:tcW w:w="22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Replacement share-based awards</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issued in connection with Sovos</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42</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Brands, Inc. acquisition</w:t>
            </w:r>
            <w:r>
              <w:rPr>
                <w:rFonts w:ascii="Times New Roman" w:cs="Times New Roman" w:eastAsia="Times New Roman" w:hAnsi="Times New Roman"/>
                <w:sz w:val="9"/>
                <w:szCs w:val="9"/>
                <w:b w:val="1"/>
                <w:bCs w:val="1"/>
                <w:color w:val="auto"/>
              </w:rPr>
              <w:t>(1)</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141"/>
        </w:trPr>
        <w:tc>
          <w:tcPr>
            <w:tcW w:w="22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39</w:t>
            </w:r>
          </w:p>
        </w:tc>
        <w:tc>
          <w:tcPr>
            <w:tcW w:w="4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3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191"/>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28, 2024</w:t>
            </w: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(1,190)</w:t>
            </w:r>
          </w:p>
        </w:tc>
        <w:tc>
          <w:tcPr>
            <w:tcW w:w="4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421</w:t>
            </w:r>
          </w:p>
        </w:tc>
        <w:tc>
          <w:tcPr>
            <w:tcW w:w="3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4,685</w:t>
            </w:r>
          </w:p>
        </w:tc>
        <w:tc>
          <w:tcPr>
            <w:tcW w:w="6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w:t>
            </w:r>
          </w:p>
        </w:tc>
        <w:tc>
          <w:tcPr>
            <w:tcW w:w="6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3,915</w:t>
            </w:r>
          </w:p>
        </w:tc>
        <w:tc>
          <w:tcPr>
            <w:tcW w:w="0" w:type="dxa"/>
            <w:vAlign w:val="bottom"/>
          </w:tcPr>
          <w:p>
            <w:pPr>
              <w:spacing w:after="0"/>
              <w:rPr>
                <w:sz w:val="1"/>
                <w:szCs w:val="1"/>
                <w:color w:val="auto"/>
              </w:rPr>
            </w:pPr>
          </w:p>
        </w:tc>
      </w:tr>
      <w:tr>
        <w:trPr>
          <w:trHeight w:val="26"/>
        </w:trPr>
        <w:tc>
          <w:tcPr>
            <w:tcW w:w="2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2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30, 2023</w:t>
            </w: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(1,219)</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420</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4,451</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570</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570</w:t>
            </w:r>
          </w:p>
        </w:tc>
        <w:tc>
          <w:tcPr>
            <w:tcW w:w="0" w:type="dxa"/>
            <w:vAlign w:val="bottom"/>
          </w:tcPr>
          <w:p>
            <w:pPr>
              <w:spacing w:after="0"/>
              <w:rPr>
                <w:sz w:val="1"/>
                <w:szCs w:val="1"/>
                <w:color w:val="auto"/>
              </w:rPr>
            </w:pPr>
          </w:p>
        </w:tc>
      </w:tr>
      <w:tr>
        <w:trPr>
          <w:trHeight w:val="141"/>
        </w:trPr>
        <w:tc>
          <w:tcPr>
            <w:tcW w:w="22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($1.11 per share)</w:t>
            </w: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(336)</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0" w:type="dxa"/>
            <w:vAlign w:val="bottom"/>
          </w:tcPr>
          <w:p>
            <w:pPr>
              <w:spacing w:after="0"/>
              <w:rPr>
                <w:sz w:val="1"/>
                <w:szCs w:val="1"/>
                <w:color w:val="auto"/>
              </w:rPr>
            </w:pPr>
          </w:p>
        </w:tc>
      </w:tr>
      <w:tr>
        <w:trPr>
          <w:trHeight w:val="141"/>
        </w:trPr>
        <w:tc>
          <w:tcPr>
            <w:tcW w:w="22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Replacement share-based awards</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issued in connection with Sovos</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42</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Brands, Inc. acquisition</w:t>
            </w:r>
            <w:r>
              <w:rPr>
                <w:rFonts w:ascii="Times New Roman" w:cs="Times New Roman" w:eastAsia="Times New Roman" w:hAnsi="Times New Roman"/>
                <w:sz w:val="9"/>
                <w:szCs w:val="9"/>
                <w:b w:val="1"/>
                <w:bCs w:val="1"/>
                <w:color w:val="auto"/>
              </w:rPr>
              <w:t>(1)</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(46)</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0" w:type="dxa"/>
            <w:vAlign w:val="bottom"/>
          </w:tcPr>
          <w:p>
            <w:pPr>
              <w:spacing w:after="0"/>
              <w:rPr>
                <w:sz w:val="1"/>
                <w:szCs w:val="1"/>
                <w:color w:val="auto"/>
              </w:rPr>
            </w:pPr>
          </w:p>
        </w:tc>
      </w:tr>
      <w:tr>
        <w:trPr>
          <w:trHeight w:val="141"/>
        </w:trPr>
        <w:tc>
          <w:tcPr>
            <w:tcW w:w="22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75</w:t>
            </w:r>
          </w:p>
        </w:tc>
        <w:tc>
          <w:tcPr>
            <w:tcW w:w="4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3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0" w:type="dxa"/>
            <w:vAlign w:val="bottom"/>
          </w:tcPr>
          <w:p>
            <w:pPr>
              <w:spacing w:after="0"/>
              <w:rPr>
                <w:sz w:val="1"/>
                <w:szCs w:val="1"/>
                <w:color w:val="auto"/>
              </w:rPr>
            </w:pPr>
          </w:p>
        </w:tc>
      </w:tr>
      <w:tr>
        <w:trPr>
          <w:trHeight w:val="191"/>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28, 2024</w:t>
            </w: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(1,190)</w:t>
            </w:r>
          </w:p>
        </w:tc>
        <w:tc>
          <w:tcPr>
            <w:tcW w:w="4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421</w:t>
            </w:r>
          </w:p>
        </w:tc>
        <w:tc>
          <w:tcPr>
            <w:tcW w:w="3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4,685</w:t>
            </w:r>
          </w:p>
        </w:tc>
        <w:tc>
          <w:tcPr>
            <w:tcW w:w="6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w:t>
            </w:r>
          </w:p>
        </w:tc>
        <w:tc>
          <w:tcPr>
            <w:tcW w:w="6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3,915</w:t>
            </w:r>
          </w:p>
        </w:tc>
        <w:tc>
          <w:tcPr>
            <w:tcW w:w="0" w:type="dxa"/>
            <w:vAlign w:val="bottom"/>
          </w:tcPr>
          <w:p>
            <w:pPr>
              <w:spacing w:after="0"/>
              <w:rPr>
                <w:sz w:val="1"/>
                <w:szCs w:val="1"/>
                <w:color w:val="auto"/>
              </w:rPr>
            </w:pPr>
          </w:p>
        </w:tc>
      </w:tr>
      <w:tr>
        <w:trPr>
          <w:trHeight w:val="26"/>
        </w:trPr>
        <w:tc>
          <w:tcPr>
            <w:tcW w:w="2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40" w:hanging="134"/>
        <w:spacing w:after="0"/>
        <w:tabs>
          <w:tab w:leader="none" w:pos="14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3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Campbell Soup Company and its consolidated subsidiaries.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30, 2023.</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July 28,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Early adoption is permitted. We adopted the guidance in the fourth quarter of 2023, with the exception of the rollforward information. The adoption did not have a material impact on our consolidated financial statements. See Note 17 for additional information.</w:t>
      </w:r>
    </w:p>
    <w:p>
      <w:pPr>
        <w:spacing w:after="0" w:line="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guidance to improve reportable segment disclosures,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Early adoption is permitted. We are currently evaluating the impact that the new guidance will have on our consolidated financial statements.</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139"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87"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 xml:space="preserve">On August 7, 2023, we entered into a merger agreement to acquire Sovos Brands, Inc. (Sovos Brands) for $23.00 per share. On March 12, 2024, we completed the acquisition. Sovos Brands' portfolio includes a variety of pasta sauces, dry pasta, soups, frozen entrées, frozen pizza and yogurts, all of which are sold in North America under the brand names </w:t>
      </w:r>
      <w:r>
        <w:rPr>
          <w:rFonts w:ascii="Times New Roman" w:cs="Times New Roman" w:eastAsia="Times New Roman" w:hAnsi="Times New Roman"/>
          <w:sz w:val="18"/>
          <w:szCs w:val="18"/>
          <w:i w:val="1"/>
          <w:iCs w:val="1"/>
          <w:color w:val="auto"/>
        </w:rPr>
        <w:t>Rao’s, Michael Angelo’s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Total purchase consideration was $2.899 billion, which was determined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9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9720" w:type="dxa"/>
            <w:vAlign w:val="bottom"/>
            <w:shd w:val="clear" w:color="auto" w:fill="CCEEFF"/>
          </w:tcPr>
          <w:p>
            <w:pPr>
              <w:ind w:left="60"/>
              <w:spacing w:after="0" w:line="225" w:lineRule="exact"/>
              <w:rPr>
                <w:sz w:val="20"/>
                <w:szCs w:val="20"/>
                <w:color w:val="auto"/>
              </w:rPr>
            </w:pPr>
            <w:r>
              <w:rPr>
                <w:rFonts w:ascii="Times New Roman" w:cs="Times New Roman" w:eastAsia="Times New Roman" w:hAnsi="Times New Roman"/>
                <w:sz w:val="18"/>
                <w:szCs w:val="18"/>
                <w:color w:val="auto"/>
              </w:rPr>
              <w:t>Cash consideration paid to Sovos Brands shareholders</w:t>
            </w:r>
            <w:r>
              <w:rPr>
                <w:rFonts w:ascii="Times New Roman" w:cs="Times New Roman" w:eastAsia="Times New Roman" w:hAnsi="Times New Roman"/>
                <w:sz w:val="22"/>
                <w:szCs w:val="22"/>
                <w:color w:val="auto"/>
                <w:vertAlign w:val="superscript"/>
              </w:rPr>
              <w:t>(1)</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5"/>
        </w:trPr>
        <w:tc>
          <w:tcPr>
            <w:tcW w:w="9720" w:type="dxa"/>
            <w:vAlign w:val="bottom"/>
            <w:tcBorders>
              <w:bottom w:val="single" w:sz="8" w:color="CCEEFF"/>
            </w:tcBorders>
          </w:tcPr>
          <w:p>
            <w:pPr>
              <w:ind w:left="60"/>
              <w:spacing w:after="0" w:line="225" w:lineRule="exact"/>
              <w:rPr>
                <w:sz w:val="20"/>
                <w:szCs w:val="20"/>
                <w:color w:val="auto"/>
              </w:rPr>
            </w:pPr>
            <w:r>
              <w:rPr>
                <w:rFonts w:ascii="Times New Roman" w:cs="Times New Roman" w:eastAsia="Times New Roman" w:hAnsi="Times New Roman"/>
                <w:sz w:val="18"/>
                <w:szCs w:val="18"/>
                <w:color w:val="auto"/>
              </w:rPr>
              <w:t>Cash paid for share-based awards</w:t>
            </w:r>
            <w:r>
              <w:rPr>
                <w:rFonts w:ascii="Times New Roman" w:cs="Times New Roman" w:eastAsia="Times New Roman" w:hAnsi="Times New Roman"/>
                <w:sz w:val="22"/>
                <w:szCs w:val="22"/>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8"/>
        </w:trPr>
        <w:tc>
          <w:tcPr>
            <w:tcW w:w="9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consideration paid directly to shareholders</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r>
      <w:tr>
        <w:trPr>
          <w:trHeight w:val="225"/>
        </w:trPr>
        <w:tc>
          <w:tcPr>
            <w:tcW w:w="9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paid for transaction costs of Sovos Brands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9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Repayment of Sovos Brands existing indebtedness and accrued interest</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8"/>
        </w:trPr>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r>
      <w:tr>
        <w:trPr>
          <w:trHeight w:val="225"/>
        </w:trPr>
        <w:tc>
          <w:tcPr>
            <w:tcW w:w="9720" w:type="dxa"/>
            <w:vAlign w:val="bottom"/>
            <w:shd w:val="clear" w:color="auto" w:fill="CCEEFF"/>
          </w:tcPr>
          <w:p>
            <w:pPr>
              <w:ind w:left="60"/>
              <w:spacing w:after="0" w:line="225" w:lineRule="exact"/>
              <w:rPr>
                <w:sz w:val="20"/>
                <w:szCs w:val="20"/>
                <w:color w:val="auto"/>
              </w:rPr>
            </w:pPr>
            <w:r>
              <w:rPr>
                <w:rFonts w:ascii="Times New Roman" w:cs="Times New Roman" w:eastAsia="Times New Roman" w:hAnsi="Times New Roman"/>
                <w:sz w:val="18"/>
                <w:szCs w:val="18"/>
                <w:color w:val="auto"/>
              </w:rPr>
              <w:t>Fair value of replacement share-based awards</w:t>
            </w:r>
            <w:r>
              <w:rPr>
                <w:rFonts w:ascii="Times New Roman" w:cs="Times New Roman" w:eastAsia="Times New Roman" w:hAnsi="Times New Roman"/>
                <w:sz w:val="22"/>
                <w:szCs w:val="22"/>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8"/>
        </w:trPr>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6"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Consideration paid to Sovos Brands shareholders which reflects $23.00 per share.</w:t>
      </w:r>
    </w:p>
    <w:p>
      <w:pPr>
        <w:ind w:left="320" w:hanging="314"/>
        <w:spacing w:after="0" w:line="208" w:lineRule="auto"/>
        <w:tabs>
          <w:tab w:leader="none" w:pos="25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cash paid to equity award holders of Sovos Brands restricted stock and restricted stock unit awards attributable to pre-combination service. This excludes $3 million of cash paid that was recognized as expense.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jc w:val="both"/>
        <w:ind w:left="360" w:hanging="314"/>
        <w:spacing w:after="0" w:line="222" w:lineRule="auto"/>
        <w:tabs>
          <w:tab w:leader="none" w:pos="369"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issued replacement equity awards in settlement of certain Sovos Brands equity awards that did not become vested in connection with the acquisition. The portion of fair value of the replacement awards attributable to pre-combination service was $42 million and is included in the purchase consideration. We recognized $26 million of expense related to accelerated vesting of certain replacement awards.</w:t>
      </w:r>
    </w:p>
    <w:p>
      <w:pPr>
        <w:spacing w:after="0" w:line="48" w:lineRule="exact"/>
        <w:rPr>
          <w:sz w:val="20"/>
          <w:szCs w:val="20"/>
          <w:color w:val="auto"/>
        </w:rPr>
      </w:pPr>
    </w:p>
    <w:p>
      <w:pPr>
        <w:jc w:val="both"/>
        <w:ind w:left="40" w:firstLine="318"/>
        <w:spacing w:after="0" w:line="258" w:lineRule="auto"/>
        <w:rPr>
          <w:sz w:val="20"/>
          <w:szCs w:val="20"/>
          <w:color w:val="auto"/>
        </w:rPr>
      </w:pPr>
      <w:r>
        <w:rPr>
          <w:rFonts w:ascii="Times New Roman" w:cs="Times New Roman" w:eastAsia="Times New Roman" w:hAnsi="Times New Roman"/>
          <w:sz w:val="18"/>
          <w:szCs w:val="18"/>
          <w:color w:val="auto"/>
        </w:rPr>
        <w:t>The cash portion of the acquisition was funded through a Delayed Draw Term Loan Credit Agreement (the 2024 DDTL Credit Agreement) of $2 billion and cash on hand. See Note 11 for additional information.</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table below presents the fair value that was allocated to acquired assets and assumed liabilities:</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9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Estimated Fair Value</w:t>
            </w:r>
          </w:p>
        </w:tc>
      </w:tr>
      <w:tr>
        <w:trPr>
          <w:trHeight w:val="24"/>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8"/>
        </w:trPr>
        <w:tc>
          <w:tcPr>
            <w:tcW w:w="9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2,374</w:t>
            </w:r>
          </w:p>
        </w:tc>
      </w:tr>
      <w:tr>
        <w:trPr>
          <w:trHeight w:val="218"/>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5"/>
        </w:trPr>
        <w:tc>
          <w:tcPr>
            <w:tcW w:w="9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8"/>
        </w:trPr>
        <w:tc>
          <w:tcPr>
            <w:tcW w:w="9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r>
      <w:tr>
        <w:trPr>
          <w:trHeight w:val="218"/>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19"/>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r>
      <w:tr>
        <w:trPr>
          <w:trHeight w:val="20"/>
        </w:trPr>
        <w:tc>
          <w:tcPr>
            <w:tcW w:w="9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40" w:firstLine="318"/>
        <w:spacing w:after="0" w:line="259"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values of identifiable net assets was recorded as $1.11 billion of goodwill. The goodwill is not deductible for tax purposes. The goodwill was primarily attributable to future growth opportunities, anticipated synergies, and intangible assets that did not qualify for separate recognition. The goodwill is included in the Meals &amp; Beverages segment.</w:t>
      </w:r>
    </w:p>
    <w:p>
      <w:pPr>
        <w:spacing w:after="0" w:line="45" w:lineRule="exact"/>
        <w:rPr>
          <w:sz w:val="20"/>
          <w:szCs w:val="20"/>
          <w:color w:val="auto"/>
        </w:rPr>
      </w:pPr>
    </w:p>
    <w:p>
      <w:pPr>
        <w:jc w:val="both"/>
        <w:ind w:left="40" w:firstLine="318"/>
        <w:spacing w:after="0" w:line="274" w:lineRule="auto"/>
        <w:rPr>
          <w:sz w:val="20"/>
          <w:szCs w:val="20"/>
          <w:color w:val="auto"/>
        </w:rPr>
      </w:pPr>
      <w:r>
        <w:rPr>
          <w:rFonts w:ascii="Times New Roman" w:cs="Times New Roman" w:eastAsia="Times New Roman" w:hAnsi="Times New Roman"/>
          <w:sz w:val="18"/>
          <w:szCs w:val="18"/>
          <w:color w:val="auto"/>
        </w:rPr>
        <w:t>The purchase price allocation of Sovos Brands is preliminary and is subject to the finalization of certain items, including valuations and tax balances, which will be completed within the allowable measurement period.</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identifiable intangible assets of Sovos Brands consist of:</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5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
        </w:trPr>
        <w:tc>
          <w:tcPr>
            <w:tcW w:w="58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Non-amortizable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Amortizable</w:t>
            </w:r>
          </w:p>
        </w:tc>
        <w:tc>
          <w:tcPr>
            <w:tcW w:w="5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Amortizable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0"/>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April 28, 2024, Sovos Brands amortizable intangible assets had a weighted-average remaining useful life of 27 years.</w:t>
      </w:r>
    </w:p>
    <w:p>
      <w:pPr>
        <w:spacing w:after="0" w:line="85" w:lineRule="exact"/>
        <w:rPr>
          <w:sz w:val="20"/>
          <w:szCs w:val="20"/>
          <w:color w:val="auto"/>
        </w:rPr>
      </w:pPr>
    </w:p>
    <w:p>
      <w:pPr>
        <w:jc w:val="both"/>
        <w:ind w:left="40" w:firstLine="318"/>
        <w:spacing w:after="0" w:line="250" w:lineRule="auto"/>
        <w:rPr>
          <w:sz w:val="20"/>
          <w:szCs w:val="20"/>
          <w:color w:val="auto"/>
        </w:rPr>
      </w:pPr>
      <w:r>
        <w:rPr>
          <w:rFonts w:ascii="Times New Roman" w:cs="Times New Roman" w:eastAsia="Times New Roman" w:hAnsi="Times New Roman"/>
          <w:sz w:val="18"/>
          <w:szCs w:val="18"/>
          <w:color w:val="auto"/>
        </w:rPr>
        <w:t>We incurred transaction costs and integration costs, including costs to achieve synergies, of $95 million and $114 million associated with the Sovos Brands acquisition in the three- and nine-month periods ended April 28, 2024, respectively. Approximately $16 million in the three-month period and $35 million in the nine-month period represented transaction costs, including outside advisory costs, recorded in Other expenses / (income). In the three-month period ended April 28, 2024, we recognized $2 million in Interest expense related to financing fees associated with the 2024 DDTL Credit Agreement. Integration costs included expenses associated with accelerated vesting of replacement awards, severance and retention bonuses, amortization of the acquisition date fair value adjustment to inventories and other costs. Integration costs recognized in the three-month period ended April 28, 2024 included the following: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280" w:top="863" w:right="339" w:bottom="1440" w:gutter="0" w:footer="0" w:header="0"/>
        </w:sectPr>
      </w:pPr>
    </w:p>
    <w:bookmarkStart w:id="9" w:name="page10"/>
    <w:bookmarkEnd w:id="9"/>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 Costs of products sold, $17 million of which related to the amortization of the acquisition date fair value adjustment to inventories;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Marketing and selling expenses;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of Administrative expenses;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Research and development expenses; and</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$16 million of Restructuring charges to achieve synergies. See Note 7 for additional information.</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period March 12, 2024 through April 28, 2024, the Sovos Brands acquisition contributed $166 million to Net sales and a loss of $75 million to Net earnings, including the effect of transaction and integration costs and interest expense on the debt to finance the acquisition.</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unaudited summary information is presented on a consolidated pro forma basis as if the Sovos Brands acquisition had occurred on August 1,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180" w:type="dxa"/>
            <w:vAlign w:val="bottom"/>
            <w:gridSpan w:val="4"/>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2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9"/>
              </w:rPr>
              <w:t>April 30, 2023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April 30, 2023</w:t>
            </w:r>
          </w:p>
        </w:tc>
        <w:tc>
          <w:tcPr>
            <w:tcW w:w="0" w:type="dxa"/>
            <w:vAlign w:val="bottom"/>
          </w:tcPr>
          <w:p>
            <w:pPr>
              <w:spacing w:after="0"/>
              <w:rPr>
                <w:sz w:val="1"/>
                <w:szCs w:val="1"/>
                <w:color w:val="auto"/>
              </w:rPr>
            </w:pPr>
          </w:p>
        </w:tc>
      </w:tr>
      <w:tr>
        <w:trPr>
          <w:trHeight w:val="225"/>
        </w:trPr>
        <w:tc>
          <w:tcPr>
            <w:tcW w:w="6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8,061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0" w:type="dxa"/>
            <w:vAlign w:val="bottom"/>
          </w:tcPr>
          <w:p>
            <w:pPr>
              <w:spacing w:after="0"/>
              <w:rPr>
                <w:sz w:val="1"/>
                <w:szCs w:val="1"/>
                <w:color w:val="auto"/>
              </w:rPr>
            </w:pPr>
          </w:p>
        </w:tc>
      </w:tr>
      <w:tr>
        <w:trPr>
          <w:trHeight w:val="23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pro forma results are not necessarily indicative of the combined results had the Sovos Brands acquisition been completed on August 1, 2022, nor are they indicative of future combined results. The pro forma amounts include adjustments to interest expense for financing the acquisition, to amortization and depreciation expense based on the estimated fair value and useful lives of intangible assets and plant assets, and related tax effects. The pro forma results include adjustments to reflect amortization of the acquisition date fair value adjustment to inventories, expenses related to accelerated vesting of replacement awards and severance and retention bonuses as of August 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44"/>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54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2"/>
                <w:szCs w:val="12"/>
                <w:color w:val="auto"/>
              </w:rPr>
            </w:pPr>
          </w:p>
        </w:tc>
        <w:tc>
          <w:tcPr>
            <w:tcW w:w="1300" w:type="dxa"/>
            <w:vAlign w:val="bottom"/>
          </w:tcPr>
          <w:p>
            <w:pPr>
              <w:jc w:val="center"/>
              <w:ind w:right="36"/>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line="199" w:lineRule="exact"/>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line="199" w:lineRule="exact"/>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7"/>
                <w:szCs w:val="17"/>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78"/>
        </w:trPr>
        <w:tc>
          <w:tcPr>
            <w:tcW w:w="5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4"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April 28, 2024, July 30, 2023, April 30, 2023 and July 31, 2022.</w:t>
      </w:r>
    </w:p>
    <w:p>
      <w:pPr>
        <w:ind w:left="320" w:hanging="314"/>
        <w:spacing w:after="0" w:line="201" w:lineRule="auto"/>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a tax benefit of $3 million as of April 28, 2024 and $1 million as of July 30, 2023, and no tax as of April 30, 2023 and July 31, 2022.</w:t>
      </w:r>
    </w:p>
    <w:p>
      <w:pPr>
        <w:spacing w:after="0" w:line="1" w:lineRule="exact"/>
        <w:rPr>
          <w:rFonts w:ascii="Times New Roman" w:cs="Times New Roman" w:eastAsia="Times New Roman" w:hAnsi="Times New Roman"/>
          <w:sz w:val="23"/>
          <w:szCs w:val="23"/>
          <w:color w:val="auto"/>
          <w:vertAlign w:val="superscript"/>
        </w:rPr>
      </w:pPr>
    </w:p>
    <w:p>
      <w:pPr>
        <w:ind w:left="320" w:right="3500" w:hanging="314"/>
        <w:spacing w:after="0" w:line="276" w:lineRule="auto"/>
        <w:tabs>
          <w:tab w:leader="none" w:pos="30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$1 million as of April 28, 2024, July 30, 2023, April 30, 2023 and July 31, 2022. Amounts related to noncontrolling interests were not material.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00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6"/>
            <w:vMerge w:val="restart"/>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Pr>
          <w:p>
            <w:pPr>
              <w:spacing w:after="0"/>
              <w:rPr>
                <w:sz w:val="9"/>
                <w:szCs w:val="9"/>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0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  Cost of products sold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Cost of products sold</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gridSpan w:val="4"/>
          </w:tcPr>
          <w:p>
            <w:pPr>
              <w:jc w:val="right"/>
              <w:ind w:right="312"/>
              <w:spacing w:after="0"/>
              <w:rPr>
                <w:sz w:val="20"/>
                <w:szCs w:val="20"/>
                <w:color w:val="auto"/>
              </w:rPr>
            </w:pPr>
            <w:r>
              <w:rPr>
                <w:rFonts w:ascii="Times New Roman" w:cs="Times New Roman" w:eastAsia="Times New Roman" w:hAnsi="Times New Roman"/>
                <w:sz w:val="18"/>
                <w:szCs w:val="18"/>
                <w:color w:val="auto"/>
                <w:w w:val="97"/>
              </w:rPr>
              <w:t>Interest expense</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9"/>
                <w:szCs w:val="19"/>
                <w:color w:val="auto"/>
              </w:rPr>
            </w:pPr>
          </w:p>
        </w:tc>
        <w:tc>
          <w:tcPr>
            <w:tcW w:w="3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24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30, 2023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22"/>
                <w:szCs w:val="22"/>
                <w:b w:val="1"/>
                <w:bCs w:val="1"/>
                <w:color w:val="auto"/>
                <w:vertAlign w:val="superscript"/>
              </w:rPr>
              <w:t>(1)</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April 28, 2024</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2,975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12, 2024, we acquired Sovos Brands. See Note 3 for additional information.</w:t>
      </w:r>
    </w:p>
    <w:p>
      <w:pPr>
        <w:spacing w:after="0" w:line="67"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Intangible Assets</w:t>
      </w:r>
    </w:p>
    <w:p>
      <w:pPr>
        <w:spacing w:after="0" w:line="90"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July 30, 2023</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0"/>
                <w:szCs w:val="10"/>
                <w:color w:val="auto"/>
              </w:rPr>
            </w:pPr>
          </w:p>
        </w:tc>
        <w:tc>
          <w:tcPr>
            <w:tcW w:w="7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0"/>
                <w:szCs w:val="10"/>
                <w:color w:val="auto"/>
              </w:rPr>
            </w:pPr>
          </w:p>
        </w:tc>
        <w:tc>
          <w:tcPr>
            <w:tcW w:w="7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8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Definite-lived trademarks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Indefinite-lived trademarks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Rao's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5"/>
        </w:trPr>
        <w:tc>
          <w:tcPr>
            <w:tcW w:w="35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35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35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8"/>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Associated with the acquisition of Snyder's-Lance, Inc. (Snyder's-Lance).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1" w:name="page12"/>
    <w:bookmarkEnd w:id="11"/>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As part of the Sovos Brands acquisition, we acquired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indefinite-lived trademark of $1.47 billion, customer relationship intangible assets of $232 million and definite-lived trademarks of $83 million. See Note 3 for additional information.</w:t>
      </w:r>
    </w:p>
    <w:p>
      <w:pPr>
        <w:spacing w:after="0" w:line="2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expense was $52 million for the nine-month period ended April 28, 2024, and $31 million for the nine-month period ended April 30, 2023. Amortization expense in 2024 included $20 million of accelerated amortization expense on customer relationships, which began in the fourth quarter of 2023 due to the loss of certain contract manufacturing customers. As of April 28, 2024, amortizable intangible assets had a weighted-average remaining useful life of 19 years. Amortization expense is estimated to be approximately $73 million in 2024, $72 million in 2025 and $46 million per year for the following three years.</w:t>
      </w:r>
    </w:p>
    <w:p>
      <w:pPr>
        <w:spacing w:after="0" w:line="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As of our 2023 annual impairment testing, indefinite-lived trademarks with approximately 10% or less of excess coverage of fair value over carrying value had an aggregate carrying value of $434 million and included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and certain other Snacks trademarks. The indefinite-lived trademark related to the Sovos Brands acquisition has been recorded at fair value.</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85" w:lineRule="exact"/>
        <w:rPr>
          <w:sz w:val="20"/>
          <w:szCs w:val="20"/>
          <w:color w:val="auto"/>
        </w:rPr>
      </w:pPr>
    </w:p>
    <w:p>
      <w:pPr>
        <w:jc w:val="both"/>
        <w:ind w:left="640" w:hanging="316"/>
        <w:spacing w:after="0" w:line="271"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and stocks;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Mexican sauces;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gravies, pasta, beans and dinner sauces;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canned poultry;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as of March 12, 2024,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dry pasta, frozen entrées, frozen pizza and soups; </w:t>
      </w:r>
      <w:r>
        <w:rPr>
          <w:rFonts w:ascii="Times New Roman" w:cs="Times New Roman" w:eastAsia="Times New Roman" w:hAnsi="Times New Roman"/>
          <w:sz w:val="17"/>
          <w:szCs w:val="17"/>
          <w:i w:val="1"/>
          <w:iCs w:val="1"/>
          <w:color w:val="auto"/>
        </w:rPr>
        <w:t>Michael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Angelo's </w:t>
      </w:r>
      <w:r>
        <w:rPr>
          <w:rFonts w:ascii="Times New Roman" w:cs="Times New Roman" w:eastAsia="Times New Roman" w:hAnsi="Times New Roman"/>
          <w:sz w:val="17"/>
          <w:szCs w:val="17"/>
          <w:color w:val="auto"/>
        </w:rPr>
        <w:t>frozen entrées and pasta sauces; and</w:t>
      </w:r>
      <w:r>
        <w:rPr>
          <w:rFonts w:ascii="Times New Roman" w:cs="Times New Roman" w:eastAsia="Times New Roman" w:hAnsi="Times New Roman"/>
          <w:sz w:val="17"/>
          <w:szCs w:val="17"/>
          <w:i w:val="1"/>
          <w:iCs w:val="1"/>
          <w:color w:val="auto"/>
        </w:rPr>
        <w:t xml:space="preserve"> noosa </w:t>
      </w:r>
      <w:r>
        <w:rPr>
          <w:rFonts w:ascii="Times New Roman" w:cs="Times New Roman" w:eastAsia="Times New Roman" w:hAnsi="Times New Roman"/>
          <w:sz w:val="17"/>
          <w:szCs w:val="17"/>
          <w:color w:val="auto"/>
        </w:rPr>
        <w:t>yogurts. The segment also includes snacking products in foodservice and Canada; and</w:t>
      </w:r>
    </w:p>
    <w:p>
      <w:pPr>
        <w:spacing w:after="0" w:line="47" w:lineRule="exact"/>
        <w:rPr>
          <w:rFonts w:ascii="Times New Roman" w:cs="Times New Roman" w:eastAsia="Times New Roman" w:hAnsi="Times New Roman"/>
          <w:sz w:val="17"/>
          <w:szCs w:val="17"/>
          <w:color w:val="auto"/>
        </w:rPr>
      </w:pPr>
    </w:p>
    <w:p>
      <w:pPr>
        <w:jc w:val="both"/>
        <w:ind w:left="640" w:hanging="316"/>
        <w:spacing w:after="0" w:line="25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 </w:t>
      </w:r>
      <w:r>
        <w:rPr>
          <w:rFonts w:ascii="Times New Roman" w:cs="Times New Roman" w:eastAsia="Times New Roman" w:hAnsi="Times New Roman"/>
          <w:sz w:val="18"/>
          <w:szCs w:val="18"/>
          <w:i w:val="1"/>
          <w:iCs w:val="1"/>
          <w:color w:val="auto"/>
        </w:rPr>
        <w:t>Pop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Secret </w:t>
      </w:r>
      <w:r>
        <w:rPr>
          <w:rFonts w:ascii="Times New Roman" w:cs="Times New Roman" w:eastAsia="Times New Roman" w:hAnsi="Times New Roman"/>
          <w:sz w:val="18"/>
          <w:szCs w:val="18"/>
          <w:color w:val="auto"/>
        </w:rPr>
        <w:t>popcorn, and other snacking products in retail in the U.S. We refer to the * brands as our "power brands." The segment also includes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Latin America. The segment included the results of our Emerald nuts business, which was sold on May 30, 2023.</w:t>
      </w:r>
    </w:p>
    <w:p>
      <w:pPr>
        <w:spacing w:after="0" w:line="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cost savings and optimization initiatives, impairment charges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1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3540" w:type="dxa"/>
            <w:vAlign w:val="bottom"/>
          </w:tcPr>
          <w:p>
            <w:pPr>
              <w:spacing w:after="0"/>
              <w:rPr>
                <w:sz w:val="24"/>
                <w:szCs w:val="24"/>
                <w:color w:val="auto"/>
              </w:rPr>
            </w:pPr>
          </w:p>
        </w:tc>
        <w:tc>
          <w:tcPr>
            <w:tcW w:w="2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41" w:lineRule="auto"/>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Costs related to cost savings and optimization initiatives were $23 million and $68 million in the three- and nine-month periods ended April 28, 2024, and $27 million and $35 million in the three- and nine-month periods ended April 30, 2023, respectively. Unrealized mark-to-market adjustments on outstanding undesignated commodity hedges were gains of $13 million and $5 million in the three- and nine-month periods ended April 28, 2024, and losses of $9 million in the three- and nine-month periods ended April 30, 2023, respectively. Accelerated amortization expense related to customer relationship intangible assets was $6 million and $20 million in the three- and nine-month periods ended April 28, 2024, respectively. Costs of $77 million and $96 million associated with the acquisition of Sovos Brands were included in the three- and nine-month periods ended April 28, 2024, respectively. Litigation expenses related to the Plum baby food and snacks business, which was divested on May 3, 2021, were $3 million and were included in the nine-month period ended April 28, 2024. Costs of $3 million related to a cybersecurity incident were included in the nine-month period ended April 28, 2024. There were pension actuarial losses of $17 million and $26 million in the three- and nine-month periods ended April 30, 2023, respectively.</w:t>
      </w:r>
    </w:p>
    <w:p>
      <w:pPr>
        <w:spacing w:after="0" w:line="30"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for additional information.</w:t>
      </w:r>
    </w:p>
    <w:p>
      <w:pPr>
        <w:spacing w:after="0" w:line="80"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net sales based on product categories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potato chips, tortilla chips and other salty snacks and baked products. Other simple meals include sauces, yogurts, pasta, frozen entrées, canned poultry, frozen pizza, gravies and beans.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non-dairy beverages.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Charges, Cost Savings Initiatives and Other Optimization Initiatives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 April 28,</w:t>
            </w:r>
          </w:p>
        </w:tc>
        <w:tc>
          <w:tcPr>
            <w:tcW w:w="0" w:type="dxa"/>
            <w:vAlign w:val="bottom"/>
          </w:tcPr>
          <w:p>
            <w:pPr>
              <w:spacing w:after="0"/>
              <w:rPr>
                <w:sz w:val="1"/>
                <w:szCs w:val="1"/>
                <w:color w:val="auto"/>
              </w:rPr>
            </w:pPr>
          </w:p>
        </w:tc>
      </w:tr>
      <w:tr>
        <w:trPr>
          <w:trHeight w:val="114"/>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80" w:type="dxa"/>
            <w:vAlign w:val="bottom"/>
          </w:tcPr>
          <w:p>
            <w:pPr>
              <w:spacing w:after="0"/>
              <w:rPr>
                <w:sz w:val="9"/>
                <w:szCs w:val="9"/>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6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7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2"/>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 April</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$905 million to $930 million and we expect to incur substantially all of the costs through 2025. These estimates will be updated as the expanded initiatives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$250 million to $255 million in severance pay and benefits; approximately $140 million in asset impairment and accelerated depreciation; and approximately $515 million to $535 million in implementation costs and other related costs. We expect these pre-tax costs to be associated with our segments as follows: Meals &amp; Beverages - approximately 33%; Snacks - approximately 43%; and Corporate - approximately 24%.</w:t>
      </w:r>
    </w:p>
    <w:p>
      <w:pPr>
        <w:spacing w:after="0" w:line="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Of the aggregate $905 million to $930 million of pre-tax costs identified to date, we expect approximately $725 million to $750 million will be cash expenditures. In addition, we expect to invest approximately $705 million in capital expenditures, of which we invested $508 million as of April 28, 2024. We expect to invest in substantially all of the capital expenditures through 2025.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enhancements to our headquarters in Camden, New Jersey, implementation of our existing SAP enterprise-resource planning system for Snyder's-Lance, and optimization of the Snyder’s-Lance warehouse and distribution network.</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at April 28, 2024, is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balance at July 30, 2023</w:t>
      </w:r>
      <w:r>
        <w:rPr>
          <w:rFonts w:ascii="Times New Roman" w:cs="Times New Roman" w:eastAsia="Times New Roman" w:hAnsi="Times New Roman"/>
          <w:sz w:val="22"/>
          <w:szCs w:val="22"/>
          <w:color w:val="auto"/>
          <w:vertAlign w:val="superscript"/>
        </w:rPr>
        <w:t>(1)</w:t>
      </w:r>
    </w:p>
    <w:p>
      <w:pPr>
        <w:ind w:left="220"/>
        <w:spacing w:after="0"/>
        <w:rPr>
          <w:sz w:val="20"/>
          <w:szCs w:val="20"/>
          <w:color w:val="auto"/>
        </w:rPr>
      </w:pPr>
      <w:r>
        <w:rPr>
          <w:rFonts w:ascii="Times New Roman" w:cs="Times New Roman" w:eastAsia="Times New Roman" w:hAnsi="Times New Roman"/>
          <w:sz w:val="18"/>
          <w:szCs w:val="18"/>
          <w:b w:val="1"/>
          <w:bCs w:val="1"/>
          <w:color w:val="auto"/>
        </w:rPr>
        <w:t>2024 charges</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2024 cash payments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at April 28, 2024</w:t>
      </w:r>
      <w:r>
        <w:rPr>
          <w:rFonts w:ascii="Times New Roman" w:cs="Times New Roman" w:eastAsia="Times New Roman" w:hAnsi="Times New Roman"/>
          <w:sz w:val="21"/>
          <w:szCs w:val="21"/>
          <w:b w:val="1"/>
          <w:bCs w:val="1"/>
          <w:color w:val="auto"/>
          <w:vertAlign w:val="superscript"/>
        </w:rPr>
        <w:t>(2)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68"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6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3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7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60" w:type="dxa"/>
            <w:vAlign w:val="bottom"/>
            <w:vMerge w:val="continue"/>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Cash Exit</w:t>
            </w: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Total Charges</w:t>
            </w:r>
          </w:p>
        </w:tc>
        <w:tc>
          <w:tcPr>
            <w:tcW w:w="0" w:type="dxa"/>
            <w:vAlign w:val="bottom"/>
          </w:tcPr>
          <w:p>
            <w:pPr>
              <w:spacing w:after="0"/>
              <w:rPr>
                <w:sz w:val="1"/>
                <w:szCs w:val="1"/>
                <w:color w:val="auto"/>
              </w:rPr>
            </w:pPr>
          </w:p>
        </w:tc>
      </w:tr>
      <w:tr>
        <w:trPr>
          <w:trHeight w:val="227"/>
        </w:trPr>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(3)</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9"/>
                <w:szCs w:val="9"/>
                <w:b w:val="1"/>
                <w:bCs w:val="1"/>
                <w:color w:val="auto"/>
              </w:rPr>
              <w:t>(4)</w:t>
            </w: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-17145</wp:posOffset>
            </wp:positionV>
            <wp:extent cx="7134860" cy="15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788" w:hanging="788"/>
        <w:spacing w:after="0"/>
        <w:tabs>
          <w:tab w:leader="none" w:pos="7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4" w:lineRule="exact"/>
        <w:rPr>
          <w:sz w:val="20"/>
          <w:szCs w:val="20"/>
          <w:color w:val="auto"/>
        </w:rPr>
      </w:pPr>
    </w:p>
    <w:tbl>
      <w:tblPr>
        <w:tblLayout w:type="fixed"/>
        <w:tblInd w:w="788" w:type="dxa"/>
        <w:tblCellMar>
          <w:top w:w="0" w:type="dxa"/>
          <w:left w:w="0" w:type="dxa"/>
          <w:bottom w:w="0" w:type="dxa"/>
          <w:right w:w="0" w:type="dxa"/>
        </w:tblCellMar>
      </w:tblPr>
      <w:tr>
        <w:trPr>
          <w:trHeight w:val="217"/>
        </w:trPr>
        <w:tc>
          <w:tcPr>
            <w:tcW w:w="8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1</w:t>
            </w:r>
          </w:p>
        </w:tc>
        <w:tc>
          <w:tcPr>
            <w:tcW w:w="150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27</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18</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w:t>
            </w: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33"/>
        </w:trPr>
        <w:tc>
          <w:tcPr>
            <w:tcW w:w="8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w w:val="95"/>
              </w:rPr>
              <w:t>(7)</w:t>
            </w: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-142875</wp:posOffset>
            </wp:positionV>
            <wp:extent cx="7134860" cy="15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868" w:hanging="868"/>
        <w:spacing w:after="0"/>
        <w:tabs>
          <w:tab w:leader="none" w:pos="86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664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4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41275</wp:posOffset>
            </wp:positionV>
            <wp:extent cx="664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4392" w:space="720"/>
            <w:col w:w="6128"/>
          </w:cols>
          <w:pgMar w:left="320" w:top="969" w:right="339" w:bottom="1440" w:gutter="0" w:footer="0" w:header="0"/>
          <w:type w:val="continuous"/>
        </w:sectPr>
      </w:pPr>
    </w:p>
    <w:p>
      <w:pPr>
        <w:ind w:left="320" w:hanging="314"/>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$7 million of severance pay and benefits recorded in Other liabilities in the Consolidated Balance Sheet.</w:t>
      </w:r>
    </w:p>
    <w:p>
      <w:pPr>
        <w:ind w:left="320" w:hanging="314"/>
        <w:spacing w:after="0" w:line="191" w:lineRule="auto"/>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$4 million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non-cash costs that are not reflected in the restructuring reserve in the Consolidated Balance Sheet.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4" w:name="page15"/>
    <w:bookmarkEnd w:id="14"/>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0"/>
                <w:szCs w:val="10"/>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0"/>
                <w:szCs w:val="10"/>
                <w:color w:val="auto"/>
              </w:rPr>
            </w:pPr>
          </w:p>
        </w:tc>
        <w:tc>
          <w:tcPr>
            <w:tcW w:w="1260" w:type="dxa"/>
            <w:vAlign w:val="bottom"/>
          </w:tcPr>
          <w:p>
            <w:pPr>
              <w:jc w:val="right"/>
              <w:ind w:right="98"/>
              <w:spacing w:after="0" w:line="126"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2"/>
        </w:trPr>
        <w:tc>
          <w:tcPr>
            <w:tcW w:w="6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5"/>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10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second quarter of 2024, we began implementation of a new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three-month period ended April 28, 2024, we incurred $5 million in Marketing and selling expenses related to this initiative.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Sovos Brands Integration Initiatives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for additional information. We have identified opportunities for cost synergies as we integrate Sovos Brands. Cost estimates to achieve the synergies are continuing to be developed. The total expected pre-tax costs and timing of when we expect to incur those costs, as well as the expected future cash expenditures, will be updated as detailed plans are developed. We expect the pre-tax costs to be associated primarily with the Meals &amp; Beverages segment.</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three-month period ended April 28, 2024, we recorded Restructuring charges of $16 million related to initiatives to achieve the synergies.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associated with the Sovos Brands integration at April 28, 2024,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Severance Pay and Benefits</w:t>
            </w:r>
          </w:p>
        </w:tc>
      </w:tr>
      <w:tr>
        <w:trPr>
          <w:trHeight w:val="24"/>
        </w:trPr>
        <w:tc>
          <w:tcPr>
            <w:tcW w:w="95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9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2024 charges</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9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 cash payments</w:t>
            </w:r>
          </w:p>
        </w:tc>
        <w:tc>
          <w:tcPr>
            <w:tcW w:w="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40" w:type="dxa"/>
            <w:vAlign w:val="bottom"/>
            <w:tcBorders>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Accrued balance at April 28, 2024</w:t>
            </w:r>
            <w:r>
              <w:rPr>
                <w:rFonts w:ascii="Times New Roman" w:cs="Times New Roman" w:eastAsia="Times New Roman" w:hAnsi="Times New Roman"/>
                <w:sz w:val="22"/>
                <w:szCs w:val="22"/>
                <w:b w:val="1"/>
                <w:bCs w:val="1"/>
                <w:color w:val="auto"/>
                <w:vertAlign w:val="superscript"/>
              </w:rPr>
              <w:t>(1)</w:t>
            </w: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30"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 million of severance pay and benefits recorded in Other liabilities in the Consolidated Balance Sheet.</w:t>
      </w:r>
    </w:p>
    <w:p>
      <w:pPr>
        <w:spacing w:after="0" w:line="8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nor implementation and integration costs, because we evaluate segment performance excluding such charges. The costs incurred in the three-month period ended April 28, 2024 were associated with the Meals &amp; Beverages segment.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 (EPS)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nine-month periods ended April 28, 2024 and April 30, 2023, excludes less than 1 million stock options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9.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2"/>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9"/>
              </w:rPr>
              <w:t>April 30, 2023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April 30, 2023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April 30, 2023</w:t>
            </w:r>
          </w:p>
        </w:tc>
        <w:tc>
          <w:tcPr>
            <w:tcW w:w="0" w:type="dxa"/>
            <w:vAlign w:val="bottom"/>
          </w:tcPr>
          <w:p>
            <w:pPr>
              <w:spacing w:after="0"/>
              <w:rPr>
                <w:sz w:val="1"/>
                <w:szCs w:val="1"/>
                <w:color w:val="auto"/>
              </w:rPr>
            </w:pPr>
          </w:p>
        </w:tc>
      </w:tr>
      <w:tr>
        <w:trPr>
          <w:trHeight w:val="225"/>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Expected return on plan</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Net periodic benefit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2"/>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12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actuarial losses for the three- and nine-month periods ended April 30, 2023 resulted from the remeasurement of certain U.S. pension plans due to lump sum distributions that exceeded or were expected to exceed service and interest costs resulting in settlement accounting for these plans. The actuarial losses recognized for the three-month period ended April 30, 2023 were primarily due to decreases in discount rates used to determine the benefit obligation and plan experience, partially offset by gains on plan assets. The actuarial losses recognized for the nine-month period ended April 30, 2023 were primarily due to losses on plan assets and plan experience, partially offset by increases in discount rates used to determine the benefit obligation.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25"/>
        </w:trPr>
        <w:tc>
          <w:tcPr>
            <w:tcW w:w="616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costs associated with the cost savings initiatives described in Note 7.</w:t>
      </w:r>
    </w:p>
    <w:p>
      <w:pPr>
        <w:spacing w:after="0" w:line="80"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560" w:type="dxa"/>
            <w:vAlign w:val="bottom"/>
            <w:gridSpan w:val="3"/>
          </w:tcPr>
          <w:p>
            <w:pPr>
              <w:jc w:val="center"/>
              <w:ind w:left="185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0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98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9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9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3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60" w:type="dxa"/>
            <w:vAlign w:val="bottom"/>
            <w:gridSpan w:val="3"/>
          </w:tcPr>
          <w:p>
            <w:pPr>
              <w:jc w:val="center"/>
              <w:ind w:left="1839"/>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0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98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9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9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9"/>
        </w:trPr>
        <w:tc>
          <w:tcPr>
            <w:tcW w:w="38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Pr>
          <w:p>
            <w:pPr>
              <w:spacing w:after="0"/>
              <w:rPr>
                <w:sz w:val="16"/>
                <w:szCs w:val="16"/>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5"/>
        </w:trPr>
        <w:tc>
          <w:tcPr>
            <w:tcW w:w="8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5"/>
        </w:trPr>
        <w:tc>
          <w:tcPr>
            <w:tcW w:w="8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with business acquired: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Short-term Borrowings and Long-term Debt</w:t>
      </w:r>
    </w:p>
    <w:p>
      <w:pPr>
        <w:spacing w:after="0" w:line="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10, 2023, we entered into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could only be used in connection with the acquisition of Sovos Brands and the payment of fees and expenses incurred in connection therewith. On March 12, 2024, we borrowed $2 billion under the 2024 DDTL Credit Agreement and used the proceeds in order to fund the acquisition of Sovos Brands, along with the fees and expenses incurred in connection therewith.</w:t>
      </w:r>
    </w:p>
    <w:p>
      <w:pPr>
        <w:spacing w:after="0" w:line="7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March 19, 2024, pursuant to the registration statement, we issued senior unsecured notes of $2.5 billion, consisting of:</w:t>
      </w:r>
    </w:p>
    <w:p>
      <w:pPr>
        <w:spacing w:after="0" w:line="59" w:lineRule="exact"/>
        <w:rPr>
          <w:sz w:val="20"/>
          <w:szCs w:val="20"/>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aggregate principal amount of notes bearing interest at a fixed rate of 5.30% per annum, due March 20, 2026, with interest payable semi-annually on each of March 20 and September 20 commencing September 20, 2024;</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aggregate principal amount of notes bearing interest at a fixed rate of 5.20% per annum, due March 19, 2027, with interest payable semi-annually on each of March 19 and September 19 commencing September 19, 2024;</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aggregate principal amount of notes bearing interest at a fixed rate of 5.20% per annum, due March 21, 2029, with interest payable semi-annually on each of March 21 and September 21 commencing September 21, 2024; and</w:t>
      </w:r>
    </w:p>
    <w:p>
      <w:pPr>
        <w:spacing w:after="0" w:line="4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aggregate principal amount of notes bearing interest at a fixed rate of 5.40% per annum, due March 21, 2034, with interest payable semi-annually on each of March 21 and September 21 commencing September 21,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the net proceeds from the sale of the notes to repay the $2 billion of outstanding borrowings under the 2024 DDTL Credit Agreement used to fund the Sovos Brands acquisition, including fees and expenses in connection therewith, and the remainder of the net proceeds to repay commercial paper.</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April 5, 2024, we repaid $100 million of the $500 million outstanding under our Delayed Draw Term Loan Credit Agreement (the 2022 DDTL Credit Agreement) due November 15, 2025.</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April 16, 2024, we terminated our existing revolving credit facility dated September 27, 2021 (as amended on April 4, 2023). 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The 2024 Revolving Credit Facility Agreement remained unused at April 28, 2024,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contains customary covenants, including a financial covenant with respect to a minimum consolidated interest coverage ratio of consolidated adjusted EBITDA to consolidated interest expense of not less than 3.25:1.00, and customary events of default for credit facilities of this type.</w:t>
      </w:r>
    </w:p>
    <w:p>
      <w:pPr>
        <w:spacing w:after="0" w:line="4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have $1.15 billion aggregate principal amount of senior notes maturing in March 2025 that we expect to repay and/or refinance using available sources, which may include cash on hand, accessing the capital markets, commercial paper and/or revolving credit facility.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April 28, 2024, or July 30, 2023.</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exposed to credit risk from our customers. During 2023, our largest customer accounted for approximately 22% of consolidated net sales. Our five largest customers accounted for approximately 47% of our consolidated net sales in 2023.</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and Euro, related to intercompany transactions and third-party transactions. We utilize foreign exchange forward purchase and sale contracts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$75 million as of April 28, 2024, and $125 million as of July 30, 2023.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and option contracts that are not designated as accounting hedges was $279 million as of April 28, 2024, and $15 million as of July 30,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8" w:name="page19"/>
    <w:bookmarkEnd w:id="18"/>
    <w:p>
      <w:pPr>
        <w:jc w:val="both"/>
        <w:spacing w:after="0" w:line="251" w:lineRule="auto"/>
        <w:rPr>
          <w:sz w:val="20"/>
          <w:szCs w:val="20"/>
          <w:color w:val="auto"/>
        </w:rPr>
      </w:pPr>
      <w:r>
        <w:rPr>
          <w:rFonts w:ascii="Times New Roman" w:cs="Times New Roman" w:eastAsia="Times New Roman" w:hAnsi="Times New Roman"/>
          <w:sz w:val="18"/>
          <w:szCs w:val="18"/>
          <w:color w:val="auto"/>
        </w:rPr>
        <w:t>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We settled forward starting interest rate swaps with a notional value of $1.1 billion in March 2024 at a loss of $11 million. The $11 million loss on these instruments was recorded in other comprehensive income (loss) and will be recognized as additional interest expense over the 10-year, 5-year, and 3-year lives of the debt issued in March 2024. There were no forward starting interest rate swaps or treasury lock contracts outstanding as of April 28, 2024 and July 30,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Commodity futures, options and swap contracts are either designated as cash-flow hedging instruments or are undesignated. We hedge a portion of commodity requirements for periods typically up to 18 months. There were no commodity contracts designated as cash-flow hedges as of April 28, 2024, or July 30, 2023. The notional amount of commodity contracts not designated as accounting hedges was $211 million as of April 28, 2024, and $194 million as of July 30, 2023. The change in fair value on undesignated instruments is recorded in Cost of products sold.</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$66 million as of April 28, 2024, and $47 million as of July 30, 2023. The change in fair value on the embedded derivative is recorded in Cost of products sold.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$71 million as of April 28, 2024, and $42 million July 30, 2023.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2024, and July 30,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40" w:type="dxa"/>
            <w:vAlign w:val="bottom"/>
          </w:tcPr>
          <w:p>
            <w:pPr>
              <w:spacing w:after="0"/>
              <w:rPr>
                <w:sz w:val="16"/>
                <w:szCs w:val="16"/>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4"/>
        </w:trPr>
        <w:tc>
          <w:tcPr>
            <w:tcW w:w="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5"/>
        </w:trPr>
        <w:tc>
          <w:tcPr>
            <w:tcW w:w="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 Derivatives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r>
      <w:tr>
        <w:trPr>
          <w:trHeight w:val="218"/>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40" w:type="dxa"/>
            <w:vAlign w:val="bottom"/>
          </w:tcPr>
          <w:p>
            <w:pPr>
              <w:spacing w:after="0"/>
              <w:rPr>
                <w:sz w:val="24"/>
                <w:szCs w:val="24"/>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4"/>
        </w:trPr>
        <w:tc>
          <w:tcPr>
            <w:tcW w:w="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Liability Derivatives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April 28, 2024, and July 30, 2023,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3"/>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A cash margin liability balance of $2 million at April 28, 2024, and an asset balance of $2 million at July 30, 2023, were included in Accrued liabilities and Other current assets, respectively, in the Consolidated Balance Sheets.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for the three- and nine-month periods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2024, and April 30, 2023, in other comprehensive income (loss) (OCI) and the Consolidated Statements of Earnings: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Cash-Flow Hedge</w:t>
            </w:r>
          </w:p>
        </w:tc>
      </w:tr>
      <w:tr>
        <w:trPr>
          <w:trHeight w:val="192"/>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OCI Activity</w:t>
            </w:r>
          </w:p>
        </w:tc>
      </w:tr>
      <w:tr>
        <w:trPr>
          <w:trHeight w:val="192"/>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72"/>
        </w:trPr>
        <w:tc>
          <w:tcPr>
            <w:tcW w:w="6180" w:type="dxa"/>
            <w:vAlign w:val="bottom"/>
            <w:tcBorders>
              <w:top w:val="single" w:sz="8" w:color="CCEEFF"/>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40"/>
        </w:trPr>
        <w:tc>
          <w:tcPr>
            <w:tcW w:w="154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74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61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60" w:type="dxa"/>
            <w:vAlign w:val="bottom"/>
            <w:gridSpan w:val="2"/>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80" w:type="dxa"/>
            <w:vAlign w:val="bottom"/>
            <w:tcBorders>
              <w:top w:val="single" w:sz="8" w:color="CCEEFF"/>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5"/>
        </w:trPr>
        <w:tc>
          <w:tcPr>
            <w:tcW w:w="1540" w:type="dxa"/>
            <w:vAlign w:val="bottom"/>
            <w:tcBorders>
              <w:left w:val="single" w:sz="8" w:color="CCEEFF"/>
              <w:bottom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74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61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60" w:type="dxa"/>
            <w:vAlign w:val="bottom"/>
            <w:gridSpan w:val="2"/>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$1 million.</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show the total amounts of line items presented in the Consolidated Statements of Earnings for the three- and nine-month periods ended April 28, 2024, and April 30, 2023, in which the effects of derivative instruments designated as cash-flow hedges are recorded and the total effect of hedge activity on these line items are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34"/>
        </w:trPr>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1,637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70</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70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8"/>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r>
      <w:tr>
        <w:trPr>
          <w:trHeight w:val="186"/>
        </w:trPr>
        <w:tc>
          <w:tcPr>
            <w:tcW w:w="10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16"/>
                <w:szCs w:val="16"/>
                <w:color w:val="auto"/>
              </w:rPr>
            </w:pPr>
          </w:p>
        </w:tc>
        <w:tc>
          <w:tcPr>
            <w:tcW w:w="2300" w:type="dxa"/>
            <w:vAlign w:val="bottom"/>
            <w:gridSpan w:val="4"/>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34"/>
        </w:trPr>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5,047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165</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70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-1859280</wp:posOffset>
            </wp:positionV>
            <wp:extent cx="7134860" cy="15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-1539875</wp:posOffset>
            </wp:positionV>
            <wp:extent cx="7134860"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-605790</wp:posOffset>
            </wp:positionV>
            <wp:extent cx="7134860" cy="151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-286385</wp:posOffset>
            </wp:positionV>
            <wp:extent cx="7134860" cy="14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80"/>
          </w:cols>
          <w:pgMar w:left="320" w:top="969"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21" w:name="page22"/>
    <w:bookmarkEnd w:id="21"/>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3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4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Pr>
          <w:p>
            <w:pPr>
              <w:spacing w:after="0"/>
              <w:rPr>
                <w:sz w:val="13"/>
                <w:szCs w:val="13"/>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191"/>
        </w:trPr>
        <w:tc>
          <w:tcPr>
            <w:tcW w:w="3380" w:type="dxa"/>
            <w:vAlign w:val="bottom"/>
            <w:vMerge w:val="continue"/>
          </w:tcPr>
          <w:p>
            <w:pPr>
              <w:spacing w:after="0"/>
              <w:rPr>
                <w:sz w:val="16"/>
                <w:szCs w:val="16"/>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left="73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(gain)</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89"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April 28, 2024, and July 30, 2023, consistent with the fair value hierarchy: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9"/>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9"/>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gridSpan w:val="7"/>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April 28, 2024 Using</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6"/>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July 30, 2023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April 28, 2024</w:t>
            </w:r>
          </w:p>
        </w:tc>
        <w:tc>
          <w:tcPr>
            <w:tcW w:w="22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0" w:type="dxa"/>
            <w:vAlign w:val="bottom"/>
          </w:tcPr>
          <w:p>
            <w:pPr>
              <w:spacing w:after="0"/>
              <w:rPr>
                <w:sz w:val="16"/>
                <w:szCs w:val="16"/>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8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1780" w:type="dxa"/>
            <w:vAlign w:val="bottom"/>
            <w:gridSpan w:val="3"/>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9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8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1780" w:type="dxa"/>
            <w:vAlign w:val="bottom"/>
            <w:gridSpan w:val="3"/>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4"/>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9"/>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7"/>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April 28, 2024 Using</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6"/>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July 30, 2023 Using</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restart"/>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April 28, 2024</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July 30, 2023</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Commodity derivative</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8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 w:type="dxa"/>
            <w:vAlign w:val="bottom"/>
            <w:tcBorders>
              <w:right w:val="single" w:sz="8" w:color="CCEEFF"/>
            </w:tcBorders>
          </w:tcPr>
          <w:p>
            <w:pPr>
              <w:spacing w:after="0"/>
              <w:rPr>
                <w:sz w:val="20"/>
                <w:szCs w:val="20"/>
                <w:color w:val="auto"/>
              </w:rPr>
            </w:pPr>
          </w:p>
        </w:tc>
        <w:tc>
          <w:tcPr>
            <w:tcW w:w="178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gridSpan w:val="2"/>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gridSpan w:val="2"/>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80" w:type="dxa"/>
            <w:vAlign w:val="bottom"/>
            <w:gridSpan w:val="3"/>
          </w:tcPr>
          <w:p>
            <w:pPr>
              <w:spacing w:after="0" w:line="152" w:lineRule="exact"/>
              <w:rPr>
                <w:sz w:val="20"/>
                <w:szCs w:val="20"/>
                <w:color w:val="auto"/>
              </w:rPr>
            </w:pPr>
            <w:r>
              <w:rPr>
                <w:rFonts w:ascii="Times New Roman" w:cs="Times New Roman" w:eastAsia="Times New Roman" w:hAnsi="Times New Roman"/>
                <w:sz w:val="17"/>
                <w:szCs w:val="17"/>
                <w:color w:val="auto"/>
              </w:rPr>
              <w:t>Total liabilities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32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3" w:name="page24"/>
    <w:bookmarkEnd w:id="23"/>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 for the nine-month periods ended April 28, 2024, and April 30,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left="735"/>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cash equivalents of $26 million at April 28, 2024 and none at July 30, 2023. Cash equivalents represent fair value as these highly liquid investments have an original maturity of three months or less.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$6.714 billion at April 28, 2024, and $4.293 billion at July 30, 2023. The carrying value was $7.179 billion at April 28, 2024, and $4.689 billion at July 30, 2023.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nine-month period ended April 28, 2024, we repurchased 1.08 million shares at a cost of $46 million pursuant to our June 2021 program. As of April 28, 2024, approximately $58 million remained available under the June 2021 program and approximately $301 million remained available under the September 2021 program. During the nine-month period ended April 30, 2023, we repurchased 2.692 million shares at a cost of $141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2024, we issued time-lapse restricted stock units, unrestricted stock, TSR performance restricted stock units and EPS performance restricted stock units. We last issued stock options and FCF performance restricted stock units in 2019.</w:t>
      </w:r>
    </w:p>
    <w:p>
      <w:pPr>
        <w:spacing w:after="0" w:line="6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Sovos Brands acquisition, we issued 1.721 million time-lapse restricted stock units (Replacement units) in exchange for certain Sovos Brands restricted stock units and performance restricted stock units. The Replacement units are subject to the same terms and conditions of the original Sovos Brands restricted stock units and performance restricted stock units. Certain Replacement units were subject to accelerated vesting. The Replacement units have a total fair value of $74 million based on the quoted price of our stock on the acquisition date. The portion of Replacement units attributed to pre-combination service was $42 million, which was accounted for as part of consideration transferred and was recorded in Additional Paid-in Capital in our Consolidated Statements of Equity. See Note 3 for additional information. The portion of the Replacement units attributable to post-combination service will be recognized as stock-based compensation expense over the remaining vesting period.</w:t>
      </w:r>
    </w:p>
    <w:p>
      <w:pPr>
        <w:spacing w:after="0" w:line="5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25"/>
        </w:trPr>
        <w:tc>
          <w:tcPr>
            <w:tcW w:w="456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Total pre-tax stock-based compensation expense</w:t>
            </w:r>
            <w:r>
              <w:rPr>
                <w:rFonts w:ascii="Times New Roman" w:cs="Times New Roman" w:eastAsia="Times New Roman" w:hAnsi="Times New Roman"/>
                <w:sz w:val="22"/>
                <w:szCs w:val="22"/>
                <w:color w:val="auto"/>
                <w:vertAlign w:val="superscript"/>
              </w:rPr>
              <w:t>(1)</w:t>
            </w:r>
          </w:p>
        </w:tc>
        <w:tc>
          <w:tcPr>
            <w:tcW w:w="1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80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841"/>
        </w:trPr>
        <w:tc>
          <w:tcPr>
            <w:tcW w:w="45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ind w:left="320" w:right="280" w:hanging="314"/>
        <w:spacing w:after="0" w:line="280" w:lineRule="auto"/>
        <w:tabs>
          <w:tab w:leader="none" w:pos="3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$26 million of expense related to accelerated vesting of certain Replacement units in the three- and nine-month periods ended April 28, 2024. The following table summarizes stock option activity as of April 28, 2024:</w:t>
      </w:r>
    </w:p>
    <w:tbl>
      <w:tblPr>
        <w:tblLayout w:type="fixed"/>
        <w:tblInd w:w="0" w:type="dxa"/>
        <w:tblCellMar>
          <w:top w:w="0" w:type="dxa"/>
          <w:left w:w="0" w:type="dxa"/>
          <w:bottom w:w="0" w:type="dxa"/>
          <w:right w:w="0" w:type="dxa"/>
        </w:tblCellMar>
      </w:tblPr>
      <w:tr>
        <w:trPr>
          <w:trHeight w:val="144"/>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5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30,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28,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April 28,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44.77</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intrinsic value of options exercised during the nine-month period ended April 30, 2023 was $3 million.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EPS performance restricted stock units as of April 28,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30,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Replacement units granted in connection with Sovos Brands acquisition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April 28, 2024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and certain Replacement units, which we expense on an accelerated basis.</w:t>
      </w:r>
    </w:p>
    <w:p>
      <w:pPr>
        <w:spacing w:after="0" w:line="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Since 2022, we have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887 thousand EPS performance target grants outstanding at April 28, 2024, with a weighted-average grant-date fair value of $42.98.</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April 28, 2024, total remaining unearned compensation related to nonvested time-lapse restricted stock units and EPS performance restricted stock units was $65 million, which will be amortized over the weighted-average remaining service period of 1.8 years. The fair value of restricted stock units vested during the nine-month periods ended April 28, 2024, and April 30, 2023, was $95 million and $36 million, respectively. The weighted-average grant-date fair value of the restricted stock units granted during the nine-month period ended April 30, 2023 was $47.55.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April 28,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30, 2023</w:t>
            </w:r>
          </w:p>
        </w:tc>
        <w:tc>
          <w:tcPr>
            <w:tcW w:w="1640" w:type="dxa"/>
            <w:vAlign w:val="bottom"/>
            <w:gridSpan w:val="2"/>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6"/>
              </w:rPr>
              <w:t>948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center"/>
              <w:ind w:left="1137"/>
              <w:spacing w:after="0"/>
              <w:rPr>
                <w:sz w:val="20"/>
                <w:szCs w:val="20"/>
                <w:color w:val="auto"/>
              </w:rPr>
            </w:pPr>
            <w:r>
              <w:rPr>
                <w:rFonts w:ascii="Times New Roman" w:cs="Times New Roman" w:eastAsia="Times New Roman" w:hAnsi="Times New Roman"/>
                <w:sz w:val="18"/>
                <w:szCs w:val="18"/>
                <w:color w:val="auto"/>
                <w:w w:val="96"/>
              </w:rPr>
              <w:t>387</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color w:val="auto"/>
                <w:w w:val="97"/>
              </w:rPr>
              <w:t>(289)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center"/>
              <w:ind w:left="1097"/>
              <w:spacing w:after="0"/>
              <w:rPr>
                <w:sz w:val="20"/>
                <w:szCs w:val="20"/>
                <w:color w:val="auto"/>
              </w:rPr>
            </w:pPr>
            <w:r>
              <w:rPr>
                <w:rFonts w:ascii="Times New Roman" w:cs="Times New Roman" w:eastAsia="Times New Roman" w:hAnsi="Times New Roman"/>
                <w:sz w:val="18"/>
                <w:szCs w:val="18"/>
                <w:color w:val="auto"/>
                <w:w w:val="97"/>
              </w:rPr>
              <w:t>(159)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April 28, 2024</w:t>
            </w:r>
          </w:p>
        </w:tc>
        <w:tc>
          <w:tcPr>
            <w:tcW w:w="1640" w:type="dxa"/>
            <w:vAlign w:val="bottom"/>
            <w:tcBorders>
              <w:bottom w:val="single" w:sz="8" w:color="auto"/>
            </w:tcBorders>
            <w:gridSpan w:val="2"/>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6"/>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rPr>
              <w:t>4.84%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rPr>
              <w:t>3.54%</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22.16%</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26.40%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April 28, 2024, total remaining unearned compensation related to TSR performance restricted stock units was $16 million, which will be amortized over the weighted-average remaining service period of 1.8 years. In the first quarter of 2024, recipients of TSR performance restricted stock units earned 75% of the initial grants based upon our TSR ranking in a performance peer group during a three-year period ended July 28, 2023. In the first quarter of 2023, recipients of TSR performance restricted stock units earned 100% of the initial grants based upon our TSR ranking in a performance peer group during a three-year period ended July 29, 2022. The fair value of TSR performance restricted stock units vested during the nine-month periods ended April 28, 2024, and April 30, 2023, was $12 million and $21 million, respectively. The grant-date fair value of the TSR performance restricted stock units granted during the nine-month period ended April 30, 2023, was $53.74.</w:t>
      </w:r>
    </w:p>
    <w:p>
      <w:pPr>
        <w:spacing w:after="0" w:line="7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tax benefits on the exercise of stock options in the nine-month period ended April 30, 2023 were not material. Cash received from the exercise of stock options was $22 million for the nine-month period ended April 30, 2023, and is reflected in cash flows from financing activities in the Consolidated Statements of Cash Flows.</w:t>
      </w:r>
    </w:p>
    <w:p>
      <w:pPr>
        <w:spacing w:after="0" w:line="136" w:lineRule="exact"/>
        <w:rPr>
          <w:sz w:val="20"/>
          <w:szCs w:val="20"/>
          <w:color w:val="auto"/>
        </w:rPr>
      </w:pPr>
    </w:p>
    <w:p>
      <w:pPr>
        <w:ind w:right="8460" w:firstLine="6"/>
        <w:spacing w:after="0" w:line="367" w:lineRule="auto"/>
        <w:tabs>
          <w:tab w:leader="none" w:pos="265"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the company’s Napoleon, Ohio wastewater treatment facility in excess of the facility’s Clean Water Act permit limits. We have and are continuing to take actions to remediate the exceedances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18"/>
          <w:szCs w:val="18"/>
          <w:color w:val="auto"/>
        </w:rPr>
        <w:t>and are in settlement discussions with the DOJ and the private environmental groups.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April 28, 2024.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April 28,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Supplier Finance Program Obligations</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approximately $260 million at April 28, 2024 and July 30,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Supplemental Financial Statement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0" w:type="dxa"/>
            <w:vAlign w:val="bottom"/>
          </w:tcPr>
          <w:p>
            <w:pPr>
              <w:spacing w:after="0"/>
              <w:rPr>
                <w:sz w:val="1"/>
                <w:szCs w:val="1"/>
                <w:color w:val="auto"/>
              </w:rPr>
            </w:pPr>
          </w:p>
        </w:tc>
      </w:tr>
      <w:tr>
        <w:trPr>
          <w:trHeight w:val="24"/>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180" w:type="dxa"/>
            <w:vAlign w:val="bottom"/>
          </w:tcPr>
          <w:p>
            <w:pPr>
              <w:spacing w:after="0"/>
              <w:rPr>
                <w:sz w:val="19"/>
                <w:szCs w:val="19"/>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5"/>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acquisition</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80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ind w:left="320" w:hanging="314"/>
        <w:spacing w:after="0" w:line="225" w:lineRule="auto"/>
        <w:tabs>
          <w:tab w:leader="none" w:pos="30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related to customer relationship intangible assets of $6 million and $20 million in the three- and nine-month periods ended April 28, 2024, respectively.</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Related to the acquisition of Sovos Brands. See Note 3 for additional information.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30, 2023,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30, 2023, we completed the sale of our Emerald nuts business for $41 million. The results of the business through the date of sale were reflected within the Snacks reportable segment.</w:t>
      </w:r>
    </w:p>
    <w:p>
      <w:pPr>
        <w:spacing w:after="0" w:line="18"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Inc. (Sovos Brands) for total purchase consideration of $2.899 billion. For additional information on the Sovos Brands acquisition, see Note 3 to the Consolidated Financial Statements. All references to the acquisition below refer to the Sovos Brands acquisition.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73"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Our industry continues to be impacted by commodity cost fluctuations, rising labor costs and other global macroeconomic challenges. Through the third quarter, we experienced a moderate amount of input cost inflation, and we expect inflation to continue to moderate throughout the remainder of 2024. We anticipate continued supply chain productivity and previously implemented pricing actions to mitigate some of the inflationary pressures and expect such benefits to largely offset the incremental costs in 2024. We will continue to evaluate the evolving macroeconomic environment to take action to mitigate the impact on our business, consolidated results of operations and financial condition.</w:t>
      </w:r>
    </w:p>
    <w:p>
      <w:pPr>
        <w:spacing w:after="0" w:line="60"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We have lapped 2023 price increases and favorable net price realization will represent a reduced contribution to sales in 2024. Consistent with trends seen throughout the industry, we have experienced a reduction in our volumes due to lower consumption; however, we have seen modest sequential year over year volume/mix improvement in each of the last three quarters of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85" w:lineRule="exact"/>
        <w:rPr>
          <w:sz w:val="20"/>
          <w:szCs w:val="20"/>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6% in the quarter to $2.369 billion primarily due to a 7-point benefit from the acquisition of Sovos Brands. On a two-year compounded annual growth rate (CAGR), net sales increased 5%.</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30.9% in 2024 compared to 30.0% in the prior-year quarter. The increase was primarily due to benefits from supply chain productivity improvements, mark-to-market adjustments on outstanding undesignated commodity hedges and lower costs associated with cost savings initiatives, partially offset by higher cost inflation and other supply chain costs and the impact of the acquisition.</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$.44 in 2024, compared to $.53 a year ago. The current quarter included expenses of $.30 per share and the prior-year quarter included expenses of $.15 per share from items impacting comparability as discussed below.</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48"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third quarter of 2024, we recorded implementation costs and other related costs of $13 million in Administrative expenses, $3 million in Cost of products sold, $1 million in Marketing and selling expenses, $1 million in Research and development expenses and a reduction to Restructuring charges of $3 million related to these initiatives. Year-to-date in 2024, we recorded Restructuring charges of $1 million and implementation costs and other related costs of $47 million in Administrative expenses, $9 million in Cost of products sold, $4 million in Marketing and selling expenses and $3 million in Research and development expenses related to these initiatives. In the third quarter of 2023, we recorded Restructuring charges of $6 million and implementation costs and other related costs of $13 million in Administrative expenses, $12 million in Cost of products sold and $2 million in Research and development expenses (aggregate impact of $24 million after tax, or $.08 per share) related to these initiatives. Year-to-date in 2023, we recorded Restructuring charges of $15 million and implementation costs and other related costs of $21 million in Administrative expenses, $12 million in Cost of products sold and $2 million in Research and development expenses (aggregate impact of $37 million after tax, or $.12 per share) related to these initiatives;</w:t>
      </w:r>
    </w:p>
    <w:p>
      <w:pPr>
        <w:spacing w:after="0" w:line="73" w:lineRule="exact"/>
        <w:rPr>
          <w:rFonts w:ascii="Times New Roman" w:cs="Times New Roman" w:eastAsia="Times New Roman" w:hAnsi="Times New Roman"/>
          <w:sz w:val="18"/>
          <w:szCs w:val="18"/>
          <w:color w:val="auto"/>
        </w:rPr>
      </w:pPr>
    </w:p>
    <w:p>
      <w:pPr>
        <w:ind w:left="64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the second quarter of 2024, we began implementation of a new optimization initiative to improve the effectiveness of our Snacks direct-store-delivery route-to-market network. In the third quarter of 2024, we recognized $5 million in Marketing and selling expenses related to this initiative;</w:t>
      </w:r>
    </w:p>
    <w:p>
      <w:pPr>
        <w:spacing w:after="0" w:line="8" w:lineRule="exact"/>
        <w:rPr>
          <w:rFonts w:ascii="Times New Roman" w:cs="Times New Roman" w:eastAsia="Times New Roman" w:hAnsi="Times New Roman"/>
          <w:sz w:val="18"/>
          <w:szCs w:val="18"/>
          <w:color w:val="auto"/>
        </w:rPr>
      </w:pP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the total aggregate impact related to the cost savings and optimization initiatives was $20 million ($15 million after tax, or $0.05 per share). Year-to-date in 2024, the total aggregate impact related to the cost savings and optimization initiatives was $69 million ($52 million after tax, or $0.17 per share). See Note 7 to the Consolidated Financial Statements and "Restructuring Charges, Cost Savings Initiatives and Other Optimization Initiatives" for additional information;</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announced our intent to acquire Sovos Brands and on March 12, 2024, the acquisition closed. In the third quarter of 2024, we incurred $93 million of costs associated with the acquisition, of which $16 million was recorded in Restructuring charges, $39 million in Administrative expenses, $16 million in Other expenses / (income), $2 million in Marketing and selling expenses, $2 million in Research and development expenses and $18 million in Cost of products sold, of which $17 million was associated with the acquisition date fair value adjustment for inventory. We also recorded costs of $2 million in Interest expense related to costs associated with the Delayed Draw Term Loan Credit Agreement (the 2024 DDTL Credit Agreement) used to fund the acquisition. The aggregate impact was $95 million, $81 million after tax, or $.27 per share. Year-to-date in 2024, we incurred $114 million of costs associated with the acquisition, of which $16 million was recorded in Restructuring charges, $39 million in Administrative expenses, $35 million in Other expenses / (income), $2 million in Marketing and selling expenses, $2 million in Research and development expenses, $18 million in Cost of products sold and $2 million in Interest expense. The aggregate after-tax impact was $98 million, or $.33 per share;</w:t>
      </w:r>
    </w:p>
    <w:p>
      <w:pPr>
        <w:spacing w:after="0" w:line="73"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we recognized gains in Cost of products sold of $13 million ($10 million after tax, or $.03 per share) associated with unrealized mark-to-market adjustments on outstanding undesignated commodity hedges. Year-to-date in 2024, we recognized gains in Cost of products sold of $5 million ($4 million after tax, or $.01 per share) associated with unrealized mark-to-market adjustments on outstanding undesignated commodity hedges. In the third quarter of 2023, we recognized losses in Cost of products sold of $9 million ($7 million after tax, or $.02 per share) associated with unrealized mark-to-market adjustments on outstanding undesignated commodity hedges. Year-to-date in 2023, we recognized losses in Cost of products sold of $9 million ($7 million after tax, or $.02 per share) associated with unrealized mark-to-market adjustments on outstanding undesignated commodity hedges;</w:t>
      </w:r>
    </w:p>
    <w:p>
      <w:pPr>
        <w:spacing w:after="0" w:line="5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we recorded accelerated amortization expense in Other expenses / (income) of $6 million ($5 million after tax, or $.02 per share) related to customer relationship intangible assets due to the loss of certain contract manufacturing customers, which began in the fourth quarter of 2023. Year-to-date in 2024, we recorded accelerated amortization expense in Other expenses / (income) of $20 million ($15 million after tax, or $.05 per share) related to customer relationship intangible assets;</w:t>
      </w:r>
    </w:p>
    <w:p>
      <w:pPr>
        <w:spacing w:after="0" w:line="6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2024, we recorded pre- and after-tax litigation expenses in Administrative expenses of $3 million ($.01 per share) related to the Plum baby food and snacks business (Plum), which was divested on May 3, 2021;</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2024, we recorded costs of $2 million in Cost of products sold and $1 million in Administrative expenses (aggregate impact of $2 million after tax, or $.01 per share) related to a cybersecurity incident that was identified in the fourth quarter of 2023;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9" w:name="page30"/>
    <w:bookmarkEnd w:id="29"/>
    <w:p>
      <w:pPr>
        <w:jc w:val="both"/>
        <w:ind w:left="640" w:hanging="316"/>
        <w:spacing w:after="0" w:line="25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2023, we recognized actuarial losses in Other expenses / (income) of $17 million ($13 million after tax, or $.04 per share). Year-to-date in 2023, we recognized actuarial losses in Other expenses / (income) of $26 million ($20 million after tax, or $.07 per share). The actuarial losses related to interim remeasurements of certain U.S. pension plans due to lump sum distributions that exceeded or were expected to exceed service and interest costs resulting in settlement accounting for the plans.</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186"/>
        </w:trPr>
        <w:tc>
          <w:tcPr>
            <w:tcW w:w="6920" w:type="dxa"/>
            <w:vAlign w:val="bottom"/>
          </w:tcPr>
          <w:p>
            <w:pPr>
              <w:spacing w:after="0"/>
              <w:rPr>
                <w:sz w:val="16"/>
                <w:szCs w:val="16"/>
                <w:color w:val="auto"/>
              </w:rPr>
            </w:pPr>
          </w:p>
        </w:tc>
        <w:tc>
          <w:tcPr>
            <w:tcW w:w="21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16"/>
                <w:szCs w:val="16"/>
                <w:color w:val="auto"/>
              </w:rPr>
            </w:pPr>
          </w:p>
        </w:tc>
        <w:tc>
          <w:tcPr>
            <w:tcW w:w="21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74"/>
        </w:trPr>
        <w:tc>
          <w:tcPr>
            <w:tcW w:w="69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EPS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99"/>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Accelerated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Pension actuarial losses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6"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50"/>
        </w:trPr>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9"/>
        </w:trPr>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00" w:type="dxa"/>
            <w:vAlign w:val="bottom"/>
            <w:tcBorders>
              <w:top w:val="single" w:sz="8" w:color="auto"/>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Borders>
              <w:top w:val="single" w:sz="8" w:color="auto"/>
            </w:tcBorders>
          </w:tcPr>
          <w:p>
            <w:pPr>
              <w:spacing w:after="0"/>
              <w:rPr>
                <w:sz w:val="17"/>
                <w:szCs w:val="17"/>
                <w:color w:val="auto"/>
              </w:rPr>
            </w:pPr>
          </w:p>
        </w:tc>
        <w:tc>
          <w:tcPr>
            <w:tcW w:w="210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7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EPS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8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r>
    </w:tbl>
    <w:p>
      <w:pPr>
        <w:spacing w:after="0" w:line="18" w:lineRule="exact"/>
        <w:rPr>
          <w:sz w:val="20"/>
          <w:szCs w:val="20"/>
          <w:color w:val="auto"/>
        </w:rPr>
      </w:pPr>
    </w:p>
    <w:p>
      <w:pPr>
        <w:sectPr>
          <w:pgSz w:w="11900" w:h="16838" w:orient="portrait"/>
          <w:cols w:equalWidth="0" w:num="2">
            <w:col w:w="6220" w:space="720"/>
            <w:col w:w="4300"/>
          </w:cols>
          <w:pgMar w:left="320" w:top="969"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 litigation expenses</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Cybersecurity incident costs</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actuarial losses</w:t>
            </w: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6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earnings attributable to Campbell Soup Company were $133 million ($.44 per share) in the current quarter, compared to $160 million ($.53 per share) in the year-ago quarter. After adjusting for items impacting comparability, earnings increased primarily due to improved gross profit, partially offset by higher interest expense.</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earnings attributable to Campbell Soup Company were $570 million ($1.91 per share) in the nine-month period this year, compared to $689 million ($2.29 per share) in the year-ago period. After adjusting for items impacting comparability, earnings decreased reflecting higher marketing and selling expenses, higher interest expense, higher other expenses and higher research and development expenses, partially offset by improved gross profit. Earnings per share benefited from a reduction in the weighted average diluted shares outstanding.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THIRD-QUARTER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vMerge w:val="restart"/>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vMerge w:val="restart"/>
          </w:tcPr>
          <w:p>
            <w:pPr>
              <w:ind w:lef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Two-Year</w:t>
            </w:r>
          </w:p>
        </w:tc>
        <w:tc>
          <w:tcPr>
            <w:tcW w:w="0" w:type="dxa"/>
            <w:vAlign w:val="bottom"/>
          </w:tcPr>
          <w:p>
            <w:pPr>
              <w:spacing w:after="0"/>
              <w:rPr>
                <w:sz w:val="1"/>
                <w:szCs w:val="1"/>
                <w:color w:val="auto"/>
              </w:rPr>
            </w:pPr>
          </w:p>
        </w:tc>
      </w:tr>
      <w:tr>
        <w:trPr>
          <w:trHeight w:val="11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0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CAGR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2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332"/>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2024 versus 2023</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9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Volume/mix</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748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15</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62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increased 15%, primarily due to a 15-point benefit from the acquisition of Sovos Brands. Favorable volume/mix was offset by lower net price realization. Excluding the benefit from the acquisition of Sovos Brands, sales were comparable as gains in foodservice were offset by declines in U.S. retail products. Within U.S. retail products, declines in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pasta and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were partially offset by gains in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and U.S. soup. Sales of U.S. soup increased 2% primarily due to an increase in broth, partially offset by decreases in ready-to-serve soups and condensed soups. On a two-year CAGR basis, net sales increased 6%, including the impact of the acquisition.</w:t>
      </w:r>
    </w:p>
    <w:p>
      <w:pPr>
        <w:spacing w:after="0" w:line="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 Snacks, sales decreased 2%. Excluding the impact from the divestiture of the Emerald nuts business, sales decreased driven by declines in third-party partner brands, contract manufacturing, frozen products and fresh bakery, partially offset by sales of our power brands, which increased 2%. Sales of power brands were driven by increases in cookies and crackers, primarily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and in salty snacks. Sales were impacted by volume/mix declines and neutral net price realization. On a two-year CAGR basis, net sales increased 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$64 million in 2024 from 2023. As a percent of sales, gross profit was 30.9% in 2024 and 30.0% in 2023.</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90 basis-point increase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250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costs associated with cost savings initiatives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r>
      <w:tr>
        <w:trPr>
          <w:trHeight w:val="225"/>
        </w:trPr>
        <w:tc>
          <w:tcPr>
            <w:tcW w:w="9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25"/>
        </w:trPr>
        <w:tc>
          <w:tcPr>
            <w:tcW w:w="9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Impact of acquisition</w:t>
            </w:r>
            <w:r>
              <w:rPr>
                <w:rFonts w:ascii="Times New Roman" w:cs="Times New Roman" w:eastAsia="Times New Roman" w:hAnsi="Times New Roman"/>
                <w:sz w:val="22"/>
                <w:szCs w:val="22"/>
                <w:color w:val="auto"/>
                <w:vertAlign w:val="superscript"/>
              </w:rPr>
              <w:t>(3)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25"/>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53"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90 basis-point positive impact from the change in unrealized mark-to-market adjustments on outstanding undesignated commodity hedges and an estimated positive margin impact of 50 basis points from the benefit of cost savings initiatives, which were more than offset by cost inflation and other factors.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1" w:name="page32"/>
    <w:bookmarkEnd w:id="31"/>
    <w:p>
      <w:pPr>
        <w:ind w:left="320" w:hanging="314"/>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negative margin impact of 70 basis points from a Sovos Brands acquisition date fair value adjustment for inventory.</w:t>
      </w:r>
    </w:p>
    <w:p>
      <w:pPr>
        <w:spacing w:after="0" w:line="69"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Marketing and Selling Expenses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8.7% in 2024 and 2023. Marketing and selling expenses increased 6% in 2024 from 2023. The increase was primarily due to the impact of the acquisition (approximately 7 points) and higher costs associated with costs savings and optimization initiatives (approximately 3 points), partially offset by lower advertising and consumer promotion expense (approximately 2 points) driven by Meals &amp; Beverages and lower incentive compensation (approximately 2 points).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8.8% in 2024 compared to 7.5% in 2023. Administrative expenses increased 25% in 2024 from 2023. The increase was primarily due to costs associated with the acquisition (approximately 23 points), higher general administrative costs and inflation (approximately 7 points) and the impact of the acquisition (approximately 3 points), partially offset by increased benefits from cost savings initiatives (approximately 5 points) and lower incentive compensation (approximately 3 points).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expenses were $30 million in 2024 compared to other expenses of $23 million in 2023. Other expenses in 2024 included costs associated with the acquisition of $16 million and accelerated amortization expense of $6 million. Other expenses in 2023 included pension actuarial losses of $17 million. Excluding these amounts, the remaining change was primarily due to higher net periodic pension and postretirement benefit income in the prior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10% in 2024 from 2023.</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Pr>
          <w:p>
            <w:pPr>
              <w:spacing w:after="0"/>
              <w:rPr>
                <w:sz w:val="16"/>
                <w:szCs w:val="16"/>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(7)</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361</w:t>
            </w:r>
          </w:p>
        </w:tc>
        <w:tc>
          <w:tcPr>
            <w:tcW w:w="10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60" w:type="dxa"/>
            <w:vAlign w:val="bottom"/>
          </w:tcPr>
          <w:p>
            <w:pPr>
              <w:spacing w:after="0"/>
              <w:rPr>
                <w:sz w:val="19"/>
                <w:szCs w:val="19"/>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to the Consolidated Financial Statements for additional information on restructuring charges.</w:t>
      </w:r>
    </w:p>
    <w:p>
      <w:pPr>
        <w:spacing w:after="0" w:line="7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Meals &amp; Beverages increased 26%. The increase was primarily due to the benefit of the acquisition of Sovos Brands, higher gross profit and lower marketing and selling expenses. Gross profit margin increased due to supply chain productivity improvements, favorable volume/mix and benefits from cost savings initiatives, partially offset by higher cost inflation and other supply chain costs, unfavorable net price realization and the dilutive impact of the acquisition.</w:t>
      </w:r>
    </w:p>
    <w:p>
      <w:pPr>
        <w:spacing w:after="0" w:line="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decreased 7%. The decrease was primarily due to lower gross profit. Gross profit margin decreased due to higher cost inflation and other supply chain costs as well as unfavorable volume/mix, partially offset by supply chain productivity improvements and the benefits from cost savings initiatives.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2024 included the following:</w:t>
      </w:r>
    </w:p>
    <w:p>
      <w:pPr>
        <w:spacing w:after="0" w:line="98" w:lineRule="exact"/>
        <w:rPr>
          <w:sz w:val="20"/>
          <w:szCs w:val="20"/>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million of costs associated with the acquisition of Sovos Brands;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$23 million related to costs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of accelerated amortization expense; and</w:t>
      </w:r>
    </w:p>
    <w:p>
      <w:pPr>
        <w:spacing w:after="0" w:line="97" w:lineRule="exact"/>
        <w:rPr>
          <w:rFonts w:ascii="Times New Roman" w:cs="Times New Roman" w:eastAsia="Times New Roman" w:hAnsi="Times New Roman"/>
          <w:sz w:val="18"/>
          <w:szCs w:val="18"/>
          <w:color w:val="auto"/>
        </w:rPr>
      </w:pPr>
    </w:p>
    <w:p>
      <w:pPr>
        <w:ind w:left="320" w:right="3760" w:firstLine="163"/>
        <w:spacing w:after="0" w:line="345" w:lineRule="auto"/>
        <w:tabs>
          <w:tab w:leader="none" w:pos="6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unrealized mark-to-market gains on outstanding undesignated commodity hedges. Corporate expense in 2023 included the following:</w:t>
      </w:r>
    </w:p>
    <w:p>
      <w:pPr>
        <w:spacing w:after="0" w:line="1"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$27 million related to cost savings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pension actuarial losses; and</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of unrealized mark-to-market losses on outstanding undesignated commodity hedges.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color w:val="auto"/>
        </w:rPr>
        <w:t>Excluding these amounts, the remaining decrease was due to lower general and administrative expenses.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$70 million in 2024 increased from $47 million in 2023 primarily due to higher levels of debt to fund the acquisition.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8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26.9% in 2024 and 23.1% in 2023. The increase in the effective tax rate was primarily due to nondeductible costs associated with the acquisition.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ind w:left="140"/>
              <w:spacing w:after="0" w:line="15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Two-Year</w:t>
            </w:r>
          </w:p>
        </w:tc>
        <w:tc>
          <w:tcPr>
            <w:tcW w:w="0" w:type="dxa"/>
            <w:vAlign w:val="bottom"/>
          </w:tcPr>
          <w:p>
            <w:pPr>
              <w:spacing w:after="0"/>
              <w:rPr>
                <w:sz w:val="1"/>
                <w:szCs w:val="1"/>
                <w:color w:val="auto"/>
              </w:rPr>
            </w:pPr>
          </w:p>
        </w:tc>
      </w:tr>
      <w:tr>
        <w:trPr>
          <w:trHeight w:val="114"/>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200" w:type="dxa"/>
            <w:vAlign w:val="bottom"/>
          </w:tcPr>
          <w:p>
            <w:pPr>
              <w:spacing w:after="0"/>
              <w:rPr>
                <w:sz w:val="9"/>
                <w:szCs w:val="9"/>
                <w:color w:val="auto"/>
              </w:rPr>
            </w:pPr>
          </w:p>
        </w:tc>
        <w:tc>
          <w:tcPr>
            <w:tcW w:w="11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20" w:type="dxa"/>
            <w:vAlign w:val="bottom"/>
            <w:gridSpan w:val="2"/>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CAGR %</w:t>
            </w: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20" w:type="dxa"/>
            <w:vAlign w:val="bottom"/>
            <w:tcBorders>
              <w:bottom w:val="single" w:sz="8" w:color="CCEEFF"/>
            </w:tcBorders>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020" w:type="dxa"/>
            <w:vAlign w:val="bottom"/>
            <w:tcBorders>
              <w:bottom w:val="single" w:sz="8" w:color="CCEEFF"/>
            </w:tcBorders>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2024 versus 2023</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Snacks</w:t>
            </w:r>
            <w:r>
              <w:rPr>
                <w:rFonts w:ascii="Times New Roman" w:cs="Times New Roman" w:eastAsia="Times New Roman" w:hAnsi="Times New Roman"/>
                <w:sz w:val="18"/>
                <w:szCs w:val="18"/>
                <w:b w:val="1"/>
                <w:bCs w:val="1"/>
                <w:color w:val="auto"/>
                <w:vertAlign w:val="superscript"/>
              </w:rPr>
              <w:t>(2)</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Volume/mix</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25"/>
        </w:trPr>
        <w:tc>
          <w:tcPr>
            <w:tcW w:w="20" w:type="dxa"/>
            <w:vAlign w:val="bottom"/>
          </w:tcPr>
          <w:p>
            <w:pPr>
              <w:spacing w:after="0"/>
              <w:rPr>
                <w:sz w:val="19"/>
                <w:szCs w:val="19"/>
                <w:color w:val="auto"/>
              </w:rPr>
            </w:pPr>
          </w:p>
        </w:tc>
        <w:tc>
          <w:tcPr>
            <w:tcW w:w="746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25"/>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25"/>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618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Meals &amp; Beverages, sales increased 2% reflecting a 4-point benefit from the acquisition of Sovos Brands. Volume/mix declines were partially offset by favorable net price realization. Excluding the benefit from the acquisition, sales decreased primarily due to declines in U.S. retail products, including U.S. soup and beverages, partially offset by gains in foodservice and Canada. Sales of U.S. soup decreased 3% primarily due to decreases in ready-to-serve soups and condensed soups, partially offset by an increase in broth. On a two-year CAGR basis, sales increased 5%, including the impact of the acquisition.</w:t>
      </w:r>
    </w:p>
    <w:p>
      <w:pPr>
        <w:spacing w:after="0" w:line="64"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 xml:space="preserve">In Snacks, sales decreased 1%. Excluding the impact from the divestiture of the Emerald nuts business, sales were comparable as sales of our power brands, which increased 4%, were offset by declines in sales of third-party partner brands, fresh bakery and contract manufacturing. Sales of power brands were driven by increases in cookies and crackers, primarily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and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and in salty snacks. Sales benefited from favorable net price realization, partially offset by volume/mix declines. On a two-year CAGR basis, sales increased 6%.</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$35 million in 2024 from 2023. As a percent of sales, gross profit was 31.3% in 2024 and 31.0% in 2023.</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color w:val="auto"/>
        </w:rPr>
        <w:t>The 30 basis-point increase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230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110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costs associated with cost savings initiatives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(300)</w:t>
            </w:r>
          </w:p>
        </w:tc>
      </w:tr>
      <w:tr>
        <w:trPr>
          <w:trHeight w:val="225"/>
        </w:trPr>
        <w:tc>
          <w:tcPr>
            <w:tcW w:w="9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Impact of acquisition</w:t>
            </w:r>
            <w:r>
              <w:rPr>
                <w:rFonts w:ascii="Times New Roman" w:cs="Times New Roman" w:eastAsia="Times New Roman" w:hAnsi="Times New Roman"/>
                <w:sz w:val="22"/>
                <w:szCs w:val="22"/>
                <w:color w:val="auto"/>
                <w:vertAlign w:val="superscript"/>
              </w:rPr>
              <w:t>(2)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25"/>
        </w:trPr>
        <w:tc>
          <w:tcPr>
            <w:tcW w:w="99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(3)</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63" w:lineRule="exact"/>
        <w:rPr>
          <w:sz w:val="20"/>
          <w:szCs w:val="20"/>
          <w:color w:val="auto"/>
        </w:rPr>
      </w:pPr>
    </w:p>
    <w:p>
      <w:pPr>
        <w:jc w:val="both"/>
        <w:ind w:left="320" w:hanging="314"/>
        <w:spacing w:after="0" w:line="231" w:lineRule="auto"/>
        <w:tabs>
          <w:tab w:leader="none" w:pos="30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30 basis points from the benefit of cost savings initiatives and a 20 basis-point positive impact from the change in unrealized mark-to-market adjustments on outstanding undesignated commodity hedges, which were more than offset by cost inflation and other factors, including a 10 basis-point negative impact from a cybersecurity incident.</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Sovos Brands acquisition date fair value adjustment for inventory.</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8.8% in 2024 and 8.4% in 2023. Marketing and selling expenses increased 5% in 2024 from 2023. The increase was primarily due to the impact of the acquisition (approximately 2 points), higher selling expenses (approximately 2 points), higher costs related to cost savings and optimization initiatives (approximately 1 point) and higher other marketing expenses (approximately 1 point), partially offset by lower advertising and consumer promotion expense (approximately 1 point) driven by Meals &amp; Beverages, and lower incentive compensation (approximately 1 point).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7.6% in 2024 compared to 6.7% in 2023. Administrative expenses increased 14% in 2024 from 2023. The increase was primarily due to costs associated with the acquisition (approximately 8 points), higher costs related to cost savings initiatives (approximately 5 points), higher general administrative costs and inflation (approximately 5 points), and the impact of the acquisition (approximately 1 point), partially offset by increased benefits from cost savings initiatives (approximately 5 points).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Other expenses were $80 million in 2024 compared to other expenses of $41 million in 2023. Other expenses in 2024 included costs associated with the acquisition of $35 million and accelerated amortization expense of $20 million. Other expenses in 2023 included pension actuarial losses of $26 million. Excluding these amounts, the remaining change was primarily due to higher net periodic pension and postretirement benefit income in the prior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1% in 2024 from 2023.</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80" w:type="dxa"/>
            <w:vAlign w:val="bottom"/>
          </w:tcPr>
          <w:p>
            <w:pPr>
              <w:spacing w:after="0"/>
              <w:rPr>
                <w:sz w:val="16"/>
                <w:szCs w:val="16"/>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763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482</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1,244</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6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to the Consolidated Financial Statements for additional information on restructuring charges.</w:t>
      </w:r>
    </w:p>
    <w:p>
      <w:pPr>
        <w:spacing w:after="0" w:line="67"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8"/>
          <w:szCs w:val="18"/>
          <w:color w:val="auto"/>
        </w:rPr>
        <w:t>Operating earnings from Meals &amp; Beverages were comparable with prior year due to lower gross profit offset by the benefit of the acquisition of Sovos Brands and lower marketing and selling expenses. Gross profit margin decreased due to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4" w:name="page35"/>
    <w:bookmarkEnd w:id="34"/>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higher cost inflation and other supply chain costs and the dilutive impact of the acquisition, partially offset by supply chain productivity improvements, favorable net price realization, favorable volume/mix and the benefits of cost savings initiatives.</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increased 1%. The increase was primarily due to higher gross profit, partially offset by higher marketing and selling expenses. Gross profit margin increased due to supply chain productivity improvements, favorable net price realization, benefits from cost savings initiatives and favorable volume/mix more than offsetting higher cost inflation and other supply chain costs.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2024 included the following:</w:t>
      </w:r>
    </w:p>
    <w:p>
      <w:pPr>
        <w:spacing w:after="0" w:line="85" w:lineRule="exact"/>
        <w:rPr>
          <w:sz w:val="20"/>
          <w:szCs w:val="20"/>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million of costs associated with the acquisition of Sovos Brands;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$68 million related to costs savings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Plum litigation expenses;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costs associated with a cybersecurity incident; and</w:t>
      </w:r>
    </w:p>
    <w:p>
      <w:pPr>
        <w:spacing w:after="0" w:line="84" w:lineRule="exact"/>
        <w:rPr>
          <w:rFonts w:ascii="Times New Roman" w:cs="Times New Roman" w:eastAsia="Times New Roman" w:hAnsi="Times New Roman"/>
          <w:sz w:val="18"/>
          <w:szCs w:val="18"/>
          <w:color w:val="auto"/>
        </w:rPr>
      </w:pPr>
    </w:p>
    <w:p>
      <w:pPr>
        <w:ind w:left="160" w:right="3840" w:firstLine="323"/>
        <w:spacing w:after="0" w:line="353" w:lineRule="auto"/>
        <w:tabs>
          <w:tab w:leader="none" w:pos="6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of unrealized mark-to-market gains on outstanding undesignated commodity hedges. Corporate expense in 2023 included the following:</w:t>
      </w: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$35 million related to cost savings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of pension actuarial losses;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million.of unrealized mark-to-market losses on outstanding undesignated commodity hedges.</w:t>
      </w:r>
    </w:p>
    <w:p>
      <w:pPr>
        <w:spacing w:after="0" w:line="98" w:lineRule="exact"/>
        <w:rPr>
          <w:sz w:val="20"/>
          <w:szCs w:val="20"/>
          <w:color w:val="auto"/>
        </w:rPr>
      </w:pPr>
    </w:p>
    <w:p>
      <w:pPr>
        <w:jc w:val="both"/>
        <w:ind w:firstLine="477"/>
        <w:spacing w:after="0" w:line="274" w:lineRule="auto"/>
        <w:rPr>
          <w:sz w:val="20"/>
          <w:szCs w:val="20"/>
          <w:color w:val="auto"/>
        </w:rPr>
      </w:pPr>
      <w:r>
        <w:rPr>
          <w:rFonts w:ascii="Times New Roman" w:cs="Times New Roman" w:eastAsia="Times New Roman" w:hAnsi="Times New Roman"/>
          <w:sz w:val="18"/>
          <w:szCs w:val="18"/>
          <w:color w:val="auto"/>
        </w:rPr>
        <w:t>Excluding these amounts, the remaining increase was primarily due to higher net periodic pension and postretirement benefit income in the prior year, partially offset by lower general and administrative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$165 million in 2024 increased from $139 million in 2023 primarily due to higher levels of debt to fund the acquisition.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25.3% in 2024 and 23.7% in 2023. The increase in the effective tax rate was primarily due to nondeductible costs associated with the acquisition.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Cost Savings Initiatives and Other Optimization Initiatives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Inc.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5" w:name="page36"/>
    <w:bookmarkEnd w:id="35"/>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 Cost estimates for these expanded initiatives, as well as timing for certain activities, are continuing to be developed.</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8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gridSpan w:val="3"/>
            <w:vMerge w:val="restart"/>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 April</w:t>
            </w:r>
          </w:p>
        </w:tc>
        <w:tc>
          <w:tcPr>
            <w:tcW w:w="0" w:type="dxa"/>
            <w:vAlign w:val="bottom"/>
          </w:tcPr>
          <w:p>
            <w:pPr>
              <w:spacing w:after="0"/>
              <w:rPr>
                <w:sz w:val="1"/>
                <w:szCs w:val="1"/>
                <w:color w:val="auto"/>
              </w:rPr>
            </w:pPr>
          </w:p>
        </w:tc>
      </w:tr>
      <w:tr>
        <w:trPr>
          <w:trHeight w:val="11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80" w:type="dxa"/>
            <w:vAlign w:val="bottom"/>
          </w:tcPr>
          <w:p>
            <w:pPr>
              <w:spacing w:after="0"/>
              <w:rPr>
                <w:sz w:val="9"/>
                <w:szCs w:val="9"/>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60" w:type="dxa"/>
            <w:vAlign w:val="bottom"/>
          </w:tcPr>
          <w:p>
            <w:pPr>
              <w:spacing w:after="0"/>
              <w:rPr>
                <w:sz w:val="9"/>
                <w:szCs w:val="9"/>
                <w:color w:val="auto"/>
              </w:rPr>
            </w:pPr>
          </w:p>
        </w:tc>
        <w:tc>
          <w:tcPr>
            <w:tcW w:w="11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8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these initiatives is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 April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$905 million to $930 million and we expect to incur substantially all of the costs through 2025. These estimates will be updated as the expanded initiatives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$250 million to $255 million in severance pay and benefits; approximately $140 million in asset impairment and accelerated depreciation; and approximately $515 million to $535 million in implementation costs and other related costs. We expect these pre-tax costs to be associated with our segments as follows: Meals &amp; Beverages - approximately 33%; Snacks - approximately 43%; and Corporate - approximately 24%.</w:t>
      </w:r>
    </w:p>
    <w:p>
      <w:pPr>
        <w:spacing w:after="0" w:line="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Of the aggregate $905 million to $930 million of pre-tax costs identified to date, we expect approximately $725 million to $750 million will be cash expenditures. In addition, we expect to invest approximately $705 million in capital expenditures, of which we invested $508 million as of April 28, 2024. We expect to invest in substantially all of the capital expenditures through 2025. The capital expenditures primarily relate to optimization of production within our Meals &amp; Beverages manufacturing network, a U.S. warehouse optimization project, improvement of quality, safety and cost structure across the Snyder’s-Lance manufacturing network, optimization of information technology infrastructure and applications, enhancements to our headquarters in Camden, New Jersey, implementation of our existing SAP enterprise-resource planning system for Snyder's-Lance, and optimization of the Snyder’s-Lance warehouse and distribution network.</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to fund the costs through cash flows from operations and short-term borrowings.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$1 billion by the end of 2025. As of April 28, 2024, we have generated total program-to-date pre-tax savings of $940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6" w:name="page37"/>
    <w:bookmarkEnd w:id="36"/>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April 28, 2024</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10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second quarter of 2024, we began implementation of a new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three-month period ended April 28, 2024, we incurred $5 million in Marketing and selling expenses related to this initiative.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Sovos Brands Integration Initiatives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for additional information. We have identified opportunities for cost synergies as we integrate Sovos Brands. Cost estimates to achieve the synergies are continuing to be developed. The total expected pre-tax costs and timing of when we expect to incur those costs, as well as the expected future cash expenditures, will be updated as detailed plans are developed. We expect the pre-tax costs to be associated primarily with the Meals &amp; Beverages segment.</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three-month period ended April 28, 2024, we recorded Restructuring charges of $16 million of severance pay and benefits related to initiatives to achieve the synergies.</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$50 million by the end of 2026. As of April 28, 2024, we have generated pre-tax savings of $3 million.</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nor implementation and integration costs because we evaluate segment performance excluding such charges. The costs incurred in the three-month period ended April 28, 2024 were associated with the Meals &amp; Beverages segment.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$897 million in 2024, compared to $918 million in 2023. The decline in 2024 was primarily due to costs associated with the acquisition.</w:t>
      </w:r>
    </w:p>
    <w:p>
      <w:pPr>
        <w:spacing w:after="0" w:line="3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had negative working capital of $1.318 billion as of April 28, 2024, and $161 million as of July 30, 2023. Current assets were less than current liabilities, which included debt maturing in one year, due to a focus on lowering core working capital requirements. Total debt maturing within one year was $1.427 billion as of April 28, 2024, and $191 million as of July 30, 2023. We have $1.15 billion aggregate principal amount of senior notes maturing in March 2025 that we expect to repay and/or refinance using available sources, which may include cash on hand, accessing the capital markets, commercial paper and/or revolving credit facility.</w:t>
      </w:r>
    </w:p>
    <w:p>
      <w:pPr>
        <w:spacing w:after="0" w:line="7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approximately $260 million at April 28, 2024 and July 30, 2023.</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7" w:name="page38"/>
    <w:bookmarkEnd w:id="37"/>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Cash consideration was $2.857 billion. The acquisition was funded through the 2024 DDTL Credit Agreement of $2 billion and cash on hand.</w:t>
      </w:r>
    </w:p>
    <w:p>
      <w:pPr>
        <w:spacing w:after="0" w:line="18"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Capital expenditures were $376 million in 2024 and $257 million in 2023. Capital expenditures are expected to total approximately $500 million in 2024. Capital expenditures in the first nine months of 2024 included chip and cracker capacity expansion for our Snacks business, upgrades of assets across both segments of the business, enhancements to our headquarters in Camden, New Jersey and network optimization for our Meals &amp; Beverages business.</w:t>
      </w:r>
    </w:p>
    <w:p>
      <w:pPr>
        <w:spacing w:after="0" w:line="7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The purchase and sale proceeds of the routes are reflected in investing activities.</w:t>
      </w:r>
    </w:p>
    <w:p>
      <w:pPr>
        <w:spacing w:after="0" w:line="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$334 million in 2024 and $336 million in 2023. The regular quarterly dividend paid on our capital stock was $.37 per share in both the third quarter of 2024 and 2023. On February 28, 2024, the Board of Directors declared a regular quarterly dividend of $.37 per share payable on April 29, 2024 to shareholders of record at the close of business on April 4, 2024. On May 13, 2024, the Board of Directors declared a regular quarterly dividend of $.37 per share payable on July 29, 2024 to shareholders of record at the close of business on July 3, 2024.</w:t>
      </w:r>
    </w:p>
    <w:p>
      <w:pPr>
        <w:spacing w:after="0" w:line="6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We repurchased 1.08 million shares at a cost of $46 million in 2024 pursuant to our June 2021 program. As of April 28, 2024, approximately $58 million remained available under the June 2021 program and approximately $301 million remained available under the September 2021 program. We repurchased 2.692 million shares at a cost of $141 million in 2023. See Note 14 to the Consolidated Financial Statements and “Unregistered Sales of Equity Securities and Use of Proceeds” for additional information.</w:t>
      </w:r>
    </w:p>
    <w:p>
      <w:pPr>
        <w:spacing w:after="0" w:line="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10, 2023, we entered into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could only be used in connection with the acquisition of Sovos Brands and the payment of fees and expenses incurred in connection therewith. On March 12, 2024, we borrowed $2 billion under the 2024 DDTL Credit Agreement and used the proceeds in order to fund the acquisition of Sovos Brands, along with the fees and expenses incurred in connection therewith.</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March 19, 2024, pursuant to the registration statement, we issued senior unsecured notes of $2.5 billion, consisting of:</w:t>
      </w:r>
    </w:p>
    <w:p>
      <w:pPr>
        <w:spacing w:after="0" w:line="59" w:lineRule="exact"/>
        <w:rPr>
          <w:sz w:val="20"/>
          <w:szCs w:val="20"/>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aggregate principal amount of notes bearing interest at a fixed rate of 5.30% per annum, due March 20, 2026, with interest payable semi-annually on each of March 20 and September 20 commencing September 20, 2024;</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aggregate principal amount of notes bearing interest at a fixed rate of 5.20% per annum, due March 19, 2027, with interest payable semi-annually on each of March 19 and September 19 commencing September 19, 2024;</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aggregate principal amount of notes bearing interest at a fixed rate of 5.20% per annum, due March 21, 2029, with interest payable semi-annually on each of March 21 and September 21 commencing September 21, 2024; and</w:t>
      </w:r>
    </w:p>
    <w:p>
      <w:pPr>
        <w:spacing w:after="0" w:line="4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aggregate principal amount of notes bearing interest at a fixed rate of 5.40% per annum, due March 21, 2034, with interest payable semi-annually on each of March 21 and September 21 commencing September 21, 2024.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the net proceeds from the sale of the notes to repay the $2 billion of outstanding borrowings under the 2024 DDTL Credit Agreement used to fund the Sovos Brands acquisition, including fees and expenses in connection therewith, and the remainder of the net proceeds to repay commercial paper.</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April 5, 2024, we repaid $100 million of the $500 million outstanding under our Delayed Draw Term Loan Credit Agreement (the 2022 DDTL Credit Agreement) due November 15, 2025.</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28, 2024, we had $1.427 billion of short-term borrowings due within one year, of which $258 million was comprised of commercial paper borrowings. As of April 28, 2024, we issued $28 million of standby letters of credit.</w:t>
      </w:r>
    </w:p>
    <w:p>
      <w:pPr>
        <w:spacing w:after="0" w:line="4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16, 2024, we terminated our existing revolving credit facility dated September 27, 2021 (as amended on April 4, 2023). 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The 2024 Revolving Credit Facility Agreement remained unused at April 28, 2024,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0" w:lineRule="exact"/>
        <w:rPr>
          <w:sz w:val="20"/>
          <w:szCs w:val="20"/>
          <w:color w:val="auto"/>
        </w:rPr>
      </w:pPr>
    </w:p>
    <w:p>
      <w:pPr>
        <w:jc w:val="both"/>
        <w:ind w:firstLine="318"/>
        <w:spacing w:after="0" w:line="219"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30, 2023 (2023 Annual Report on Form 10-K). The accounting policies we used in preparing these financial statements are substantially consistent with those we applied in our 2023 Annual Report on Form 10-K. Our critical accounting estimates are described in Management’s Discussion and Analysis included in the 2023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2023 Annual Report on Form 10-K, could affect our actual results and could cause such results to vary materially from those expressed in any forward-looking statements made by, or on behalf of, us:</w:t>
      </w:r>
    </w:p>
    <w:p>
      <w:pPr>
        <w:spacing w:after="0" w:line="59" w:lineRule="exact"/>
        <w:rPr>
          <w:sz w:val="20"/>
          <w:szCs w:val="20"/>
          <w:color w:val="auto"/>
        </w:rPr>
      </w:pPr>
    </w:p>
    <w:p>
      <w:pPr>
        <w:ind w:left="640" w:hanging="316"/>
        <w:spacing w:after="0" w:line="304"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cost savings and any other synergies from the Sovos Brands transaction may not be fully realized or may take longer or cost more to be realized than expected, including that the Sovos Brands transaction may not be accretive within the expected timeframe or the extent anticipated;</w:t>
      </w:r>
    </w:p>
    <w:p>
      <w:pPr>
        <w:spacing w:after="0" w:line="8"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9" w:name="page40"/>
    <w:bookmarkEnd w:id="39"/>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co-manufacturer and supplier relationships;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and volatility in financial and credit markets, deteriorating economic conditions and other external factors, including changes in laws and regulations;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geopolitical conflicts, extreme weather conditions, natural disasters, pandemics or other outbreaks of disease or other calamities.</w:t>
      </w:r>
    </w:p>
    <w:p>
      <w:pPr>
        <w:spacing w:after="0" w:line="4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8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2023 Annual Report on Form 10-K. During the nine-month period ended April 28, 2024, we entered into forward starting interest rate swaps accounted for as cash-flow hedges with a notional value of $1.1 billion related to an anticipated issuance of debt. In March 2024, we settled these forward starting swaps at a loss of $11 million. The loss on these instruments was recorded in other comprehensive income (loss) and will be recognized as additional interest expense over the 10-year, 5-year, and 3-year lives of the debt issued in March 2024. There were no forward starting interest rate swaps or treasury lock contracts outstanding as of April 28, 2024 and July 30,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85"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April 28, 2024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April 28, 2024, except as noted below.</w:t>
      </w:r>
    </w:p>
    <w:p>
      <w:pPr>
        <w:spacing w:after="0" w:line="59"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to the Consolidated Financial Statements for additional information. In connection with the integration of Sovos Brands, we are in the process of analyzing and evaluating our internal controls over financial reporting. This process may result in additions or changes to our internal control over financial reporting.</w:t>
      </w:r>
    </w:p>
    <w:p>
      <w:pPr>
        <w:spacing w:after="0" w:line="45"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We will exclude Sovos Brands' operations from the scope of our annual assessment of the effectiveness of internal control over financial reporting for the year ending July 28, 2024 in accordance with the Securities and Exchange Commission guidance. Such guidance permits management to omit an assessment of an acquired business' internal control over financial reporting from management's assessment of internal control over financial reporting for a period not to exceed one year.</w:t>
      </w: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16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April 28, 2024 was:</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20" w:type="dxa"/>
            <w:vAlign w:val="bottom"/>
          </w:tcPr>
          <w:p>
            <w:pPr>
              <w:jc w:val="center"/>
              <w:ind w:left="144"/>
              <w:spacing w:after="0" w:line="144"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20" w:type="dxa"/>
            <w:vAlign w:val="bottom"/>
          </w:tcPr>
          <w:p>
            <w:pPr>
              <w:jc w:val="center"/>
              <w:ind w:left="124"/>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0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20" w:type="dxa"/>
            <w:vAlign w:val="bottom"/>
          </w:tcPr>
          <w:p>
            <w:pPr>
              <w:jc w:val="center"/>
              <w:ind w:left="144"/>
              <w:spacing w:after="0" w:line="133"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1500" w:type="dxa"/>
            <w:vAlign w:val="bottom"/>
            <w:gridSpan w:val="2"/>
          </w:tcPr>
          <w:p>
            <w:pPr>
              <w:jc w:val="center"/>
              <w:ind w:right="40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Per Share </w:t>
            </w:r>
            <w:r>
              <w:rPr>
                <w:rFonts w:ascii="Times New Roman" w:cs="Times New Roman" w:eastAsia="Times New Roman" w:hAnsi="Times New Roman"/>
                <w:sz w:val="14"/>
                <w:szCs w:val="14"/>
                <w:b w:val="1"/>
                <w:bCs w:val="1"/>
                <w:color w:val="auto"/>
                <w:vertAlign w:val="superscript"/>
              </w:rPr>
              <w:t>(2)</w:t>
            </w:r>
          </w:p>
        </w:tc>
        <w:tc>
          <w:tcPr>
            <w:tcW w:w="2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(3)</w:t>
            </w:r>
          </w:p>
        </w:tc>
        <w:tc>
          <w:tcPr>
            <w:tcW w:w="1420" w:type="dxa"/>
            <w:vAlign w:val="bottom"/>
          </w:tcPr>
          <w:p>
            <w:pPr>
              <w:jc w:val="center"/>
              <w:ind w:left="144"/>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 in Millions) </w:t>
            </w:r>
            <w:r>
              <w:rPr>
                <w:rFonts w:ascii="Times New Roman" w:cs="Times New Roman" w:eastAsia="Times New Roman" w:hAnsi="Times New Roman"/>
                <w:sz w:val="14"/>
                <w:szCs w:val="14"/>
                <w:b w:val="1"/>
                <w:bCs w:val="1"/>
                <w:color w:val="auto"/>
                <w:vertAlign w:val="superscript"/>
              </w:rPr>
              <w:t>(3)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1/29/24 - 2/29/24</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3/1/24 - 3/29/24</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113,408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380" w:type="dxa"/>
            <w:vAlign w:val="bottom"/>
          </w:tcPr>
          <w:p>
            <w:pPr>
              <w:spacing w:after="0"/>
              <w:rPr>
                <w:sz w:val="19"/>
                <w:szCs w:val="19"/>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113,408</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4/1/24-4/26/24</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259,524</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259,524</w:t>
            </w:r>
          </w:p>
        </w:tc>
        <w:tc>
          <w:tcPr>
            <w:tcW w:w="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372,932</w:t>
            </w:r>
          </w:p>
        </w:tc>
        <w:tc>
          <w:tcPr>
            <w:tcW w:w="3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380" w:type="dxa"/>
            <w:vAlign w:val="bottom"/>
          </w:tcPr>
          <w:p>
            <w:pPr>
              <w:spacing w:after="0"/>
              <w:rPr>
                <w:sz w:val="20"/>
                <w:szCs w:val="20"/>
                <w:color w:val="auto"/>
              </w:rPr>
            </w:pPr>
          </w:p>
        </w:tc>
        <w:tc>
          <w:tcPr>
            <w:tcW w:w="1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372,932</w:t>
            </w:r>
          </w:p>
        </w:tc>
        <w:tc>
          <w:tcPr>
            <w:tcW w:w="38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30" w:lineRule="exact"/>
        <w:rPr>
          <w:sz w:val="20"/>
          <w:szCs w:val="20"/>
          <w:color w:val="auto"/>
        </w:rPr>
      </w:pPr>
    </w:p>
    <w:p>
      <w:pPr>
        <w:ind w:left="320" w:hanging="314"/>
        <w:spacing w:after="0"/>
        <w:tabs>
          <w:tab w:leader="none" w:pos="3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jc w:val="both"/>
        <w:ind w:left="320" w:right="100" w:hanging="314"/>
        <w:spacing w:after="0" w:line="224" w:lineRule="auto"/>
        <w:tabs>
          <w:tab w:leader="none" w:pos="30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jc w:val="both"/>
        <w:ind w:left="320" w:right="100" w:hanging="314"/>
        <w:spacing w:after="0" w:line="234" w:lineRule="auto"/>
        <w:tabs>
          <w:tab w:leader="none" w:pos="30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5"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8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During the quarter ended April 28, 2024, none of our directors or officers (as defined in Rule 16a-1(f) under the Securities Exchange Act of 1934, as amended)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920" w:type="dxa"/>
            <w:vAlign w:val="bottom"/>
            <w:gridSpan w:val="10"/>
          </w:tcPr>
          <w:p>
            <w:pPr>
              <w:ind w:left="252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11"/>
          </w:tcPr>
          <w:p>
            <w:pPr>
              <w:spacing w:after="0"/>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Form of 2026 Note, incorporated by reference to Exhibit 4.3.1 to Campbell’s Current Report on Form 8-K (SEC file number 1-3822) filed on</w:t>
              </w:r>
            </w:hyperlink>
          </w:p>
        </w:tc>
      </w:tr>
      <w:tr>
        <w:trPr>
          <w:trHeight w:val="152"/>
        </w:trPr>
        <w:tc>
          <w:tcPr>
            <w:tcW w:w="1100" w:type="dxa"/>
            <w:vAlign w:val="bottom"/>
          </w:tcPr>
          <w:p>
            <w:pPr>
              <w:spacing w:after="0"/>
              <w:rPr>
                <w:sz w:val="13"/>
                <w:szCs w:val="13"/>
                <w:color w:val="auto"/>
              </w:rPr>
            </w:pPr>
          </w:p>
        </w:tc>
        <w:tc>
          <w:tcPr>
            <w:tcW w:w="9980" w:type="dxa"/>
            <w:vAlign w:val="bottom"/>
            <w:tcBorders>
              <w:top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March 21,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40" w:type="dxa"/>
            <w:vAlign w:val="bottom"/>
            <w:gridSpan w:val="11"/>
          </w:tcPr>
          <w:p>
            <w:pPr>
              <w:spacing w:after="0"/>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Form of 2027 Note, incorporated by reference to Exhibit 4.3.2 to Campbell’s Current Report on Form 8-K (SEC file number 1-3822) filed on</w:t>
              </w:r>
            </w:hyperlink>
          </w:p>
        </w:tc>
      </w:tr>
      <w:tr>
        <w:trPr>
          <w:trHeight w:val="152"/>
        </w:trPr>
        <w:tc>
          <w:tcPr>
            <w:tcW w:w="1100" w:type="dxa"/>
            <w:vAlign w:val="bottom"/>
          </w:tcPr>
          <w:p>
            <w:pPr>
              <w:spacing w:after="0"/>
              <w:rPr>
                <w:sz w:val="13"/>
                <w:szCs w:val="13"/>
                <w:color w:val="auto"/>
              </w:rPr>
            </w:pPr>
          </w:p>
        </w:tc>
        <w:tc>
          <w:tcPr>
            <w:tcW w:w="9980" w:type="dxa"/>
            <w:vAlign w:val="bottom"/>
            <w:tcBorders>
              <w:top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March 21, 2024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40" w:type="dxa"/>
            <w:vAlign w:val="bottom"/>
            <w:gridSpan w:val="11"/>
          </w:tcPr>
          <w:p>
            <w:pPr>
              <w:spacing w:after="0"/>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Form of 2029 Note, incorporated by reference to Exhibit 4.3.3 to Campbell’s Current Report on Form 8-K (SEC file number 1-3822) filed on</w:t>
              </w:r>
            </w:hyperlink>
          </w:p>
        </w:tc>
      </w:tr>
      <w:tr>
        <w:trPr>
          <w:trHeight w:val="152"/>
        </w:trPr>
        <w:tc>
          <w:tcPr>
            <w:tcW w:w="1100" w:type="dxa"/>
            <w:vAlign w:val="bottom"/>
          </w:tcPr>
          <w:p>
            <w:pPr>
              <w:spacing w:after="0"/>
              <w:rPr>
                <w:sz w:val="13"/>
                <w:szCs w:val="13"/>
                <w:color w:val="auto"/>
              </w:rPr>
            </w:pPr>
          </w:p>
        </w:tc>
        <w:tc>
          <w:tcPr>
            <w:tcW w:w="9980" w:type="dxa"/>
            <w:vAlign w:val="bottom"/>
            <w:tcBorders>
              <w:top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March 21, 2024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040" w:type="dxa"/>
            <w:vAlign w:val="bottom"/>
            <w:gridSpan w:val="11"/>
          </w:tcPr>
          <w:p>
            <w:pPr>
              <w:spacing w:after="0"/>
              <w:rPr>
                <w:rFonts w:ascii="Times New Roman" w:cs="Times New Roman" w:eastAsia="Times New Roman" w:hAnsi="Times New Roman"/>
                <w:sz w:val="18"/>
                <w:szCs w:val="18"/>
                <w:color w:val="0000FF"/>
                <w:w w:val="98"/>
              </w:rPr>
            </w:pPr>
            <w:hyperlink r:id="rId71">
              <w:r>
                <w:rPr>
                  <w:rFonts w:ascii="Times New Roman" w:cs="Times New Roman" w:eastAsia="Times New Roman" w:hAnsi="Times New Roman"/>
                  <w:sz w:val="18"/>
                  <w:szCs w:val="18"/>
                  <w:color w:val="0000FF"/>
                  <w:w w:val="98"/>
                </w:rPr>
                <w:t>Form of 2034 Note, incorporated by reference to Exhibit 4.3.4 to Campbell’s Current Report on Form 8-K (SEC file number 1-3822) filed on</w:t>
              </w:r>
            </w:hyperlink>
          </w:p>
        </w:tc>
      </w:tr>
      <w:tr>
        <w:trPr>
          <w:trHeight w:val="152"/>
        </w:trPr>
        <w:tc>
          <w:tcPr>
            <w:tcW w:w="1100" w:type="dxa"/>
            <w:vAlign w:val="bottom"/>
          </w:tcPr>
          <w:p>
            <w:pPr>
              <w:spacing w:after="0"/>
              <w:rPr>
                <w:sz w:val="13"/>
                <w:szCs w:val="13"/>
                <w:color w:val="auto"/>
              </w:rPr>
            </w:pPr>
          </w:p>
        </w:tc>
        <w:tc>
          <w:tcPr>
            <w:tcW w:w="9980" w:type="dxa"/>
            <w:vAlign w:val="bottom"/>
            <w:tcBorders>
              <w:top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March 21, 2024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11"/>
          </w:tcPr>
          <w:p>
            <w:pPr>
              <w:spacing w:after="0"/>
              <w:rPr>
                <w:rFonts w:ascii="Times New Roman" w:cs="Times New Roman" w:eastAsia="Times New Roman" w:hAnsi="Times New Roman"/>
                <w:sz w:val="18"/>
                <w:szCs w:val="18"/>
                <w:color w:val="0000FF"/>
                <w:w w:val="97"/>
              </w:rPr>
            </w:pPr>
            <w:hyperlink r:id="rId72">
              <w:r>
                <w:rPr>
                  <w:rFonts w:ascii="Times New Roman" w:cs="Times New Roman" w:eastAsia="Times New Roman" w:hAnsi="Times New Roman"/>
                  <w:sz w:val="18"/>
                  <w:szCs w:val="18"/>
                  <w:color w:val="0000FF"/>
                  <w:w w:val="97"/>
                </w:rPr>
                <w:t>Five-Year Credit Agreement, dated April 16, 2024, by and among Campbell Soup Company, the Eligible Subsidiaries party thereto from time</w:t>
              </w:r>
            </w:hyperlink>
          </w:p>
        </w:tc>
      </w:tr>
      <w:tr>
        <w:trPr>
          <w:trHeight w:val="152"/>
        </w:trPr>
        <w:tc>
          <w:tcPr>
            <w:tcW w:w="110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to time, JPMorgan Chase Bank, N.A., as administrative agent, and the other lenders named therein, incorporated by reference to Exhibit 10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100" w:type="dxa"/>
            <w:vAlign w:val="bottom"/>
          </w:tcPr>
          <w:p>
            <w:pPr>
              <w:spacing w:after="0"/>
              <w:rPr>
                <w:sz w:val="14"/>
                <w:szCs w:val="14"/>
                <w:color w:val="auto"/>
              </w:rPr>
            </w:pPr>
          </w:p>
        </w:tc>
        <w:tc>
          <w:tcPr>
            <w:tcW w:w="10020" w:type="dxa"/>
            <w:vAlign w:val="bottom"/>
            <w:gridSpan w:val="10"/>
          </w:tcPr>
          <w:p>
            <w:pPr>
              <w:spacing w:after="0" w:line="165"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Campbell’s Current Report on Form 8-K (SEC file number 1-3822) filed on April 16,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r>
      <w:tr>
        <w:trPr>
          <w:trHeight w:val="205"/>
        </w:trPr>
        <w:tc>
          <w:tcPr>
            <w:tcW w:w="1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10.2*</w:t>
            </w:r>
          </w:p>
        </w:tc>
        <w:tc>
          <w:tcPr>
            <w:tcW w:w="644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Form of Amended and Restated Change in Control Severance Protection Agreement</w:t>
            </w:r>
            <w:r>
              <w:rPr>
                <w:rFonts w:ascii="Times New Roman" w:cs="Times New Roman" w:eastAsia="Times New Roman" w:hAnsi="Times New Roman"/>
                <w:sz w:val="18"/>
                <w:szCs w:val="18"/>
                <w:color w:val="000000"/>
              </w:rPr>
              <w:t>.</w:t>
            </w:r>
          </w:p>
        </w:tc>
        <w:tc>
          <w:tcPr>
            <w:tcW w:w="3600" w:type="dxa"/>
            <w:vAlign w:val="bottom"/>
            <w:gridSpan w:val="4"/>
          </w:tcPr>
          <w:p>
            <w:pPr>
              <w:spacing w:after="0"/>
              <w:rPr>
                <w:sz w:val="17"/>
                <w:szCs w:val="17"/>
                <w:color w:val="auto"/>
              </w:rPr>
            </w:pPr>
          </w:p>
        </w:tc>
      </w:tr>
      <w:tr>
        <w:trPr>
          <w:trHeight w:val="205"/>
        </w:trPr>
        <w:tc>
          <w:tcPr>
            <w:tcW w:w="1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31.1</w:t>
            </w:r>
          </w:p>
        </w:tc>
        <w:tc>
          <w:tcPr>
            <w:tcW w:w="596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Mark A. Clouse pursuant to Rule 13a-14(a).</w:t>
            </w:r>
          </w:p>
        </w:tc>
        <w:tc>
          <w:tcPr>
            <w:tcW w:w="4080" w:type="dxa"/>
            <w:vAlign w:val="bottom"/>
            <w:gridSpan w:val="5"/>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18 U.S.C. Section 1350.</w:t>
            </w:r>
          </w:p>
        </w:tc>
      </w:tr>
      <w:tr>
        <w:trPr>
          <w:trHeight w:val="20"/>
        </w:trPr>
        <w:tc>
          <w:tcPr>
            <w:tcW w:w="1100" w:type="dxa"/>
            <w:vAlign w:val="bottom"/>
          </w:tcPr>
          <w:p>
            <w:pPr>
              <w:spacing w:after="0" w:line="20" w:lineRule="exact"/>
              <w:rPr>
                <w:sz w:val="1"/>
                <w:szCs w:val="1"/>
                <w:color w:val="auto"/>
              </w:rPr>
            </w:pPr>
          </w:p>
        </w:tc>
        <w:tc>
          <w:tcPr>
            <w:tcW w:w="48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18 U.S.C. Section 1350.</w:t>
            </w:r>
          </w:p>
        </w:tc>
      </w:tr>
      <w:tr>
        <w:trPr>
          <w:trHeight w:val="20"/>
        </w:trPr>
        <w:tc>
          <w:tcPr>
            <w:tcW w:w="1100" w:type="dxa"/>
            <w:vAlign w:val="bottom"/>
          </w:tcPr>
          <w:p>
            <w:pPr>
              <w:spacing w:after="0" w:line="20" w:lineRule="exact"/>
              <w:rPr>
                <w:sz w:val="1"/>
                <w:szCs w:val="1"/>
                <w:color w:val="auto"/>
              </w:rPr>
            </w:pPr>
          </w:p>
        </w:tc>
        <w:tc>
          <w:tcPr>
            <w:tcW w:w="5080" w:type="dxa"/>
            <w:vAlign w:val="bottom"/>
            <w:gridSpan w:val="5"/>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right="2240" w:firstLine="37"/>
        <w:spacing w:after="0" w:line="366"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 * This exhibit is a management contract or compensatory plan or arrangement.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42" w:name="page43"/>
    <w:bookmarkEnd w:id="4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2024</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874" w:right="4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Form for U.S. Executives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CHANGE IN CONTROL</w:t>
      </w:r>
    </w:p>
    <w:p>
      <w:pPr>
        <w:jc w:val="center"/>
        <w:spacing w:after="0"/>
        <w:rPr>
          <w:sz w:val="20"/>
          <w:szCs w:val="20"/>
          <w:color w:val="auto"/>
        </w:rPr>
      </w:pPr>
      <w:r>
        <w:rPr>
          <w:rFonts w:ascii="Times New Roman" w:cs="Times New Roman" w:eastAsia="Times New Roman" w:hAnsi="Times New Roman"/>
          <w:sz w:val="21"/>
          <w:szCs w:val="21"/>
          <w:color w:val="auto"/>
        </w:rPr>
        <w:t>SEVERANCE PROTECTION AGREEMENT</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THIS AMENDED AND RESTATED AGREEMENT (this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is made as of ________________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by and between Campbell Soup Company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and _________________ (the “</w:t>
      </w:r>
      <w:r>
        <w:rPr>
          <w:rFonts w:ascii="Times New Roman" w:cs="Times New Roman" w:eastAsia="Times New Roman" w:hAnsi="Times New Roman"/>
          <w:sz w:val="21"/>
          <w:szCs w:val="21"/>
          <w:i w:val="1"/>
          <w:iCs w:val="1"/>
          <w:color w:val="auto"/>
        </w:rPr>
        <w:t>Executive”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72"/>
        <w:spacing w:after="0" w:line="255" w:lineRule="auto"/>
        <w:rPr>
          <w:sz w:val="20"/>
          <w:szCs w:val="20"/>
          <w:color w:val="auto"/>
        </w:rPr>
      </w:pPr>
      <w:r>
        <w:rPr>
          <w:rFonts w:ascii="Times New Roman" w:cs="Times New Roman" w:eastAsia="Times New Roman" w:hAnsi="Times New Roman"/>
          <w:sz w:val="21"/>
          <w:szCs w:val="21"/>
          <w:color w:val="auto"/>
        </w:rPr>
        <w:t>WHEREAS, the Board of Directors of the Company (the “</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recognizes that the possibility of a Change in Control (as hereinafter defined) exists and that the threat of, or the occurrence of, a Change in Control may result in the departure or in significant distractions of its key management personnel because of the uncertainties inherent in such a situation;</w:t>
      </w:r>
    </w:p>
    <w:p>
      <w:pPr>
        <w:spacing w:after="0" w:line="186" w:lineRule="exact"/>
        <w:rPr>
          <w:sz w:val="20"/>
          <w:szCs w:val="20"/>
          <w:color w:val="auto"/>
        </w:rPr>
      </w:pPr>
    </w:p>
    <w:p>
      <w:pPr>
        <w:jc w:val="both"/>
        <w:ind w:firstLine="1272"/>
        <w:spacing w:after="0" w:line="248" w:lineRule="auto"/>
        <w:rPr>
          <w:sz w:val="20"/>
          <w:szCs w:val="20"/>
          <w:color w:val="auto"/>
        </w:rPr>
      </w:pPr>
      <w:r>
        <w:rPr>
          <w:rFonts w:ascii="Times New Roman" w:cs="Times New Roman" w:eastAsia="Times New Roman" w:hAnsi="Times New Roman"/>
          <w:sz w:val="21"/>
          <w:szCs w:val="21"/>
          <w:color w:val="auto"/>
        </w:rPr>
        <w:t>WHEREAS, the Board has, as recommended and approved by the Compensation and Organization Committee (the “</w:t>
      </w:r>
      <w:r>
        <w:rPr>
          <w:rFonts w:ascii="Times New Roman" w:cs="Times New Roman" w:eastAsia="Times New Roman" w:hAnsi="Times New Roman"/>
          <w:sz w:val="21"/>
          <w:szCs w:val="21"/>
          <w:i w:val="1"/>
          <w:iCs w:val="1"/>
          <w:color w:val="auto"/>
        </w:rPr>
        <w:t>Committee</w:t>
      </w:r>
      <w:r>
        <w:rPr>
          <w:rFonts w:ascii="Times New Roman" w:cs="Times New Roman" w:eastAsia="Times New Roman" w:hAnsi="Times New Roman"/>
          <w:sz w:val="21"/>
          <w:szCs w:val="21"/>
          <w:color w:val="auto"/>
        </w:rPr>
        <w:t>”), determined that it is essential and in the best interest of the Company and its stockholders to retain the services of the Executive in the event of a threat or occurrence of a Change in Control and to ensure the Executive’s continued dedication and efforts in such event without undue concern for the Executive’s personal financial and employment security; and</w:t>
      </w:r>
    </w:p>
    <w:p>
      <w:pPr>
        <w:spacing w:after="0" w:line="194" w:lineRule="exact"/>
        <w:rPr>
          <w:sz w:val="20"/>
          <w:szCs w:val="20"/>
          <w:color w:val="auto"/>
        </w:rPr>
      </w:pPr>
    </w:p>
    <w:p>
      <w:pPr>
        <w:jc w:val="both"/>
        <w:ind w:firstLine="1272"/>
        <w:spacing w:after="0" w:line="244" w:lineRule="auto"/>
        <w:rPr>
          <w:sz w:val="20"/>
          <w:szCs w:val="20"/>
          <w:color w:val="auto"/>
        </w:rPr>
      </w:pPr>
      <w:r>
        <w:rPr>
          <w:rFonts w:ascii="Times New Roman" w:cs="Times New Roman" w:eastAsia="Times New Roman" w:hAnsi="Times New Roman"/>
          <w:sz w:val="21"/>
          <w:szCs w:val="21"/>
          <w:color w:val="auto"/>
        </w:rPr>
        <w:t>WHEREAS, in order to induce the Executive to remain in the employ of the Company and to encourage the continued attention and dedication of the Executive, particularly in the event of a threat or the occurrence of a Change in Control, the Company desires to enter into this Agreement with the Executive to provide the Executive with certain benefits in the event the Executive’s employment is terminated as a result of, or in connection with, a Change in Control.</w:t>
      </w:r>
    </w:p>
    <w:p>
      <w:pPr>
        <w:spacing w:after="0" w:line="1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NOW, THEREFORE, in consideration of the respective agreements of the parties contained herein, it is agreed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follows:</w:t>
      </w:r>
    </w:p>
    <w:p>
      <w:pPr>
        <w:spacing w:after="0" w:line="210" w:lineRule="exact"/>
        <w:rPr>
          <w:sz w:val="20"/>
          <w:szCs w:val="20"/>
          <w:color w:val="auto"/>
        </w:rPr>
      </w:pPr>
    </w:p>
    <w:p>
      <w:pPr>
        <w:jc w:val="both"/>
        <w:ind w:left="640" w:hanging="316"/>
        <w:spacing w:after="0" w:line="245" w:lineRule="auto"/>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The term of this Agreement (the “</w:t>
      </w:r>
      <w:r>
        <w:rPr>
          <w:rFonts w:ascii="Times New Roman" w:cs="Times New Roman" w:eastAsia="Times New Roman" w:hAnsi="Times New Roman"/>
          <w:sz w:val="21"/>
          <w:szCs w:val="21"/>
          <w:i w:val="1"/>
          <w:iCs w:val="1"/>
          <w:color w:val="auto"/>
        </w:rPr>
        <w:t>Term</w:t>
      </w:r>
      <w:r>
        <w:rPr>
          <w:rFonts w:ascii="Times New Roman" w:cs="Times New Roman" w:eastAsia="Times New Roman" w:hAnsi="Times New Roman"/>
          <w:sz w:val="21"/>
          <w:szCs w:val="21"/>
          <w:color w:val="auto"/>
        </w:rPr>
        <w:t>”) shall commence on the Effective Date and shall continue in effect until the third anniversary of the Effective Date; provided, however, that commencing on the second anniversary of the Effective Date and on each anniversary thereafter, the Term of this Agreement shall automatically be extended for one</w:t>
      </w:r>
    </w:p>
    <w:p>
      <w:pPr>
        <w:spacing w:after="0" w:line="1" w:lineRule="exact"/>
        <w:rPr>
          <w:rFonts w:ascii="Times New Roman" w:cs="Times New Roman" w:eastAsia="Times New Roman" w:hAnsi="Times New Roman"/>
          <w:sz w:val="21"/>
          <w:szCs w:val="21"/>
          <w:color w:val="auto"/>
        </w:rPr>
      </w:pPr>
    </w:p>
    <w:p>
      <w:pPr>
        <w:jc w:val="both"/>
        <w:ind w:left="640" w:firstLine="2"/>
        <w:spacing w:after="0"/>
        <w:tabs>
          <w:tab w:leader="none" w:pos="96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 unless either the Company or the Executive shall have given written notice to the other at least ninety (90) days prior thereto that the Term of this Agreement shall not be so extended; and provided, further, however, that notwithstanding any such notice by the Company not to extend, the Term shall not expire prior to the second anniversary of a Change in Control that occurs prior to the end of the Term.</w:t>
      </w:r>
    </w:p>
    <w:p>
      <w:pPr>
        <w:spacing w:after="0" w:line="189"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33" w:lineRule="exact"/>
        <w:rPr>
          <w:rFonts w:ascii="Times New Roman" w:cs="Times New Roman" w:eastAsia="Times New Roman" w:hAnsi="Times New Roman"/>
          <w:sz w:val="21"/>
          <w:szCs w:val="21"/>
          <w:color w:val="auto"/>
        </w:rPr>
      </w:pPr>
    </w:p>
    <w:p>
      <w:pPr>
        <w:ind w:left="1280" w:hanging="318"/>
        <w:spacing w:after="0" w:line="27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xml:space="preserve"> means a termination evidenced by a resolution adopted in good faith by no less than two-thirds of the Board that the Executive (i) intentionally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3"/>
          <w:szCs w:val="13"/>
          <w:color w:val="auto"/>
        </w:rPr>
        <w:t>Page 1 of 15</w:t>
      </w:r>
    </w:p>
    <w:p>
      <w:pPr>
        <w:sectPr>
          <w:pgSz w:w="11900" w:h="16838" w:orient="portrait"/>
          <w:cols w:equalWidth="0" w:num="1">
            <w:col w:w="11240"/>
          </w:cols>
          <w:pgMar w:left="320" w:top="1380" w:right="339" w:bottom="1440" w:gutter="0" w:footer="0" w:header="0"/>
        </w:sectPr>
      </w:pPr>
    </w:p>
    <w:bookmarkStart w:id="44" w:name="page45"/>
    <w:bookmarkEnd w:id="44"/>
    <w:p>
      <w:pPr>
        <w:ind w:left="320"/>
        <w:spacing w:after="0" w:line="248" w:lineRule="auto"/>
        <w:rPr>
          <w:sz w:val="20"/>
          <w:szCs w:val="20"/>
          <w:color w:val="auto"/>
        </w:rPr>
      </w:pPr>
      <w:r>
        <w:rPr>
          <w:rFonts w:ascii="Times New Roman" w:cs="Times New Roman" w:eastAsia="Times New Roman" w:hAnsi="Times New Roman"/>
          <w:sz w:val="21"/>
          <w:szCs w:val="21"/>
          <w:color w:val="auto"/>
        </w:rPr>
        <w:t>continually failed to substantially perform the Executive’s duties to the Company (other than a failure resulting from the Executive's incapacity due to physical or mental illness) which failure continued for a period of at least thirty</w:t>
      </w:r>
    </w:p>
    <w:p>
      <w:pPr>
        <w:spacing w:after="0" w:line="2" w:lineRule="exact"/>
        <w:rPr>
          <w:sz w:val="20"/>
          <w:szCs w:val="20"/>
          <w:color w:val="auto"/>
        </w:rPr>
      </w:pPr>
    </w:p>
    <w:p>
      <w:pPr>
        <w:jc w:val="both"/>
        <w:ind w:left="320" w:hanging="2"/>
        <w:spacing w:after="0"/>
        <w:tabs>
          <w:tab w:leader="none" w:pos="75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written notice having been delivered to the Executive by the Company specifying the manner in which the Executive has failed to substantially perform, or (ii) intentionally engaged in conduct which is demonstrably and materially injurious to the Company, monetarily, or otherwise;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termination of the Executive's employment shall be for Cause under this clause (ii) until (x) the Company delivers written notice to the Executive stating that the Executive was guilty of the conduct set forth in clause (ii) and specifying the particulars thereof in detail, and (y) the Executive shall have been provided an opportunity to be heard by the Board (with the assistance of the Executive's counsel if the Executive so desires). No act, nor failure to act, on the Executive's part, shall be considered “intentional” unless the Executive has acted, or failed to act, with an absence of good faith and without a reasonable belief that the Executive’s action or failure to act was in the best interest of the Company. Notwithstanding anything in this Agreement to the contrary, the Executive’s failure to perform after a Notice of Termination is given by the Executive shall not constitute Cause for purposes of this Agreement.</w:t>
      </w:r>
    </w:p>
    <w:p>
      <w:pPr>
        <w:spacing w:after="0" w:line="200" w:lineRule="exact"/>
        <w:rPr>
          <w:rFonts w:ascii="Times New Roman" w:cs="Times New Roman" w:eastAsia="Times New Roman" w:hAnsi="Times New Roman"/>
          <w:sz w:val="21"/>
          <w:szCs w:val="21"/>
          <w:color w:val="auto"/>
        </w:rPr>
      </w:pPr>
    </w:p>
    <w:p>
      <w:pPr>
        <w:spacing w:after="0" w:line="204" w:lineRule="exact"/>
        <w:rPr>
          <w:rFonts w:ascii="Times New Roman" w:cs="Times New Roman" w:eastAsia="Times New Roman" w:hAnsi="Times New Roman"/>
          <w:sz w:val="21"/>
          <w:szCs w:val="21"/>
          <w:color w:val="auto"/>
        </w:rPr>
      </w:pPr>
    </w:p>
    <w:p>
      <w:pPr>
        <w:jc w:val="both"/>
        <w:ind w:left="320" w:hanging="320"/>
        <w:spacing w:after="0" w:line="255" w:lineRule="auto"/>
        <w:tabs>
          <w:tab w:leader="none" w:pos="3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Change in Control”</w:t>
      </w:r>
      <w:r>
        <w:rPr>
          <w:rFonts w:ascii="Times New Roman" w:cs="Times New Roman" w:eastAsia="Times New Roman" w:hAnsi="Times New Roman"/>
          <w:sz w:val="21"/>
          <w:szCs w:val="21"/>
          <w:color w:val="auto"/>
        </w:rPr>
        <w:t xml:space="preserve"> shall have the meaning ascribed to such term in the Campbell Soup Company 2022 Long-Term Incentive Plan (the “</w:t>
      </w:r>
      <w:r>
        <w:rPr>
          <w:rFonts w:ascii="Times New Roman" w:cs="Times New Roman" w:eastAsia="Times New Roman" w:hAnsi="Times New Roman"/>
          <w:sz w:val="21"/>
          <w:szCs w:val="21"/>
          <w:i w:val="1"/>
          <w:iCs w:val="1"/>
          <w:color w:val="auto"/>
        </w:rPr>
        <w:t>Equity Plan</w:t>
      </w:r>
      <w:r>
        <w:rPr>
          <w:rFonts w:ascii="Times New Roman" w:cs="Times New Roman" w:eastAsia="Times New Roman" w:hAnsi="Times New Roman"/>
          <w:sz w:val="21"/>
          <w:szCs w:val="21"/>
          <w:color w:val="auto"/>
        </w:rPr>
        <w:t>”) as of the date hereof as interpreted by the Committee (as defined in the Equity Plan).</w:t>
      </w:r>
    </w:p>
    <w:p>
      <w:pPr>
        <w:spacing w:after="0" w:line="171" w:lineRule="exact"/>
        <w:rPr>
          <w:rFonts w:ascii="Times New Roman" w:cs="Times New Roman" w:eastAsia="Times New Roman" w:hAnsi="Times New Roman"/>
          <w:sz w:val="21"/>
          <w:szCs w:val="21"/>
          <w:color w:val="auto"/>
        </w:rPr>
      </w:pPr>
    </w:p>
    <w:p>
      <w:pPr>
        <w:jc w:val="both"/>
        <w:ind w:left="320" w:hanging="320"/>
        <w:spacing w:after="0" w:line="243" w:lineRule="auto"/>
        <w:tabs>
          <w:tab w:leader="none" w:pos="30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Disability”</w:t>
      </w:r>
      <w:r>
        <w:rPr>
          <w:rFonts w:ascii="Times New Roman" w:cs="Times New Roman" w:eastAsia="Times New Roman" w:hAnsi="Times New Roman"/>
          <w:sz w:val="21"/>
          <w:szCs w:val="21"/>
          <w:color w:val="auto"/>
        </w:rPr>
        <w:t xml:space="preserve"> means a physical or mental infirmity that (notwithstanding accommodation) impairs the Executive's ability to substantially perform the Executive’s duties under this Agreement for a continuous period of one hundred eighty (180) days. Any question as to the existence of a Disability upon which the Executive and the Company cannot agree will be determined by a qualified independent physician selected by the Executive and the Company. If the Company and the Executive cannot agree on a physician, the Chief of Staff of Thomas Jefferson Hospital in Philadelphia, Pennsylvania shall select a physician. The determination of such physician made in writing to the Company and to the Executive shall be final and conclusive for all purposes of this Agreement.</w:t>
      </w:r>
    </w:p>
    <w:p>
      <w:pPr>
        <w:spacing w:after="0" w:line="196" w:lineRule="exact"/>
        <w:rPr>
          <w:rFonts w:ascii="Times New Roman" w:cs="Times New Roman" w:eastAsia="Times New Roman" w:hAnsi="Times New Roman"/>
          <w:sz w:val="21"/>
          <w:szCs w:val="21"/>
          <w:color w:val="auto"/>
        </w:rPr>
      </w:pPr>
    </w:p>
    <w:p>
      <w:pPr>
        <w:ind w:left="320" w:hanging="320"/>
        <w:spacing w:after="0" w:line="274" w:lineRule="auto"/>
        <w:tabs>
          <w:tab w:leader="none" w:pos="3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means the occurrence during the Protection Period (as defined below) of any of the following events or conditions (as applicable):</w:t>
      </w:r>
    </w:p>
    <w:p>
      <w:pPr>
        <w:spacing w:after="0" w:line="166" w:lineRule="exact"/>
        <w:rPr>
          <w:sz w:val="20"/>
          <w:szCs w:val="20"/>
          <w:color w:val="auto"/>
        </w:rPr>
      </w:pPr>
    </w:p>
    <w:p>
      <w:pPr>
        <w:jc w:val="both"/>
        <w:ind w:left="960" w:hanging="436"/>
        <w:spacing w:after="0" w:line="241" w:lineRule="auto"/>
        <w:tabs>
          <w:tab w:leader="none" w:pos="9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change in the Executive’s position or responsibilities (including reporting responsibilities); the assignment to the Executive of any duties or responsibilities which, in the Executive’s reasonable judgment, are inconsistent with the Executive’s status, position or responsibilities; or any removal of the Executive from or failure to reappoint or reelect the Executive to any of such offices or positions, except in connection with the termination of the Executive’s employment for Disability, Cause, death or by the Executive other than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2 of 15</w:t>
      </w:r>
    </w:p>
    <w:p>
      <w:pPr>
        <w:sectPr>
          <w:pgSz w:w="11900" w:h="16838" w:orient="portrait"/>
          <w:cols w:equalWidth="0" w:num="1">
            <w:col w:w="10280"/>
          </w:cols>
          <w:pgMar w:left="1280" w:top="1384" w:right="339" w:bottom="1440" w:gutter="0" w:footer="0" w:header="0"/>
        </w:sectPr>
      </w:pPr>
    </w:p>
    <w:bookmarkStart w:id="45" w:name="page46"/>
    <w:bookmarkEnd w:id="45"/>
    <w:p>
      <w:pPr>
        <w:ind w:left="1920" w:hanging="495"/>
        <w:spacing w:after="0" w:line="272" w:lineRule="auto"/>
        <w:tabs>
          <w:tab w:leader="none" w:pos="192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the Executive’s base salary or any failure to pay the Executive any compensation or benefits to which the Executive is entitled within thirty (30) days of the date due;</w:t>
      </w:r>
    </w:p>
    <w:p>
      <w:pPr>
        <w:spacing w:after="0" w:line="168" w:lineRule="exact"/>
        <w:rPr>
          <w:rFonts w:ascii="Times New Roman" w:cs="Times New Roman" w:eastAsia="Times New Roman" w:hAnsi="Times New Roman"/>
          <w:sz w:val="21"/>
          <w:szCs w:val="21"/>
          <w:color w:val="auto"/>
        </w:rPr>
      </w:pPr>
    </w:p>
    <w:p>
      <w:pPr>
        <w:ind w:left="1920" w:hanging="553"/>
        <w:spacing w:after="0" w:line="272" w:lineRule="auto"/>
        <w:tabs>
          <w:tab w:leader="none" w:pos="192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the Executive to move to any place outside a 50-mile radius from the Executive’s principal place of employment, except for reasonably required travel on the Company’s business;</w:t>
      </w:r>
    </w:p>
    <w:p>
      <w:pPr>
        <w:spacing w:after="0" w:line="168" w:lineRule="exact"/>
        <w:rPr>
          <w:rFonts w:ascii="Times New Roman" w:cs="Times New Roman" w:eastAsia="Times New Roman" w:hAnsi="Times New Roman"/>
          <w:sz w:val="21"/>
          <w:szCs w:val="21"/>
          <w:color w:val="auto"/>
        </w:rPr>
      </w:pPr>
    </w:p>
    <w:p>
      <w:pPr>
        <w:jc w:val="both"/>
        <w:ind w:left="1920" w:hanging="542"/>
        <w:spacing w:after="0"/>
        <w:tabs>
          <w:tab w:leader="none" w:pos="190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Company to either (A) continue in effect (without reduction in benefit level, and/or reward opportunities) any compensation or employee benefit plan in which the Executive was participating, unless a substitute or replacement plan has been implemented which provides substantially identical compensation or benefits (including target value of equity awards) to the Executive or (B) provide the Executive with compensation and benefits, in the aggregate, at least equal (in terms of benefit levels and/or reward opportunities) to those provided for under each other compensation or employee benefit plan, program and practice as in effect immediately prior to (I) the Change in Control (or as in effect following the Change in Control, if greater) or (II) Termination Date for a Pre CIC Termination (as defined below), as applicable;</w:t>
      </w:r>
    </w:p>
    <w:p>
      <w:pPr>
        <w:spacing w:after="0" w:line="201" w:lineRule="exact"/>
        <w:rPr>
          <w:rFonts w:ascii="Times New Roman" w:cs="Times New Roman" w:eastAsia="Times New Roman" w:hAnsi="Times New Roman"/>
          <w:sz w:val="21"/>
          <w:szCs w:val="21"/>
          <w:color w:val="auto"/>
        </w:rPr>
      </w:pPr>
    </w:p>
    <w:p>
      <w:pPr>
        <w:ind w:left="1900" w:hanging="463"/>
        <w:spacing w:after="0"/>
        <w:tabs>
          <w:tab w:leader="none" w:pos="19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by the Company of any provision of this Agreement;</w:t>
      </w:r>
    </w:p>
    <w:p>
      <w:pPr>
        <w:spacing w:after="0" w:line="235" w:lineRule="exact"/>
        <w:rPr>
          <w:rFonts w:ascii="Times New Roman" w:cs="Times New Roman" w:eastAsia="Times New Roman" w:hAnsi="Times New Roman"/>
          <w:sz w:val="21"/>
          <w:szCs w:val="21"/>
          <w:color w:val="auto"/>
        </w:rPr>
      </w:pPr>
    </w:p>
    <w:p>
      <w:pPr>
        <w:ind w:left="1920" w:hanging="542"/>
        <w:spacing w:after="0" w:line="272" w:lineRule="auto"/>
        <w:tabs>
          <w:tab w:leader="none" w:pos="192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purported termination of the Executive’s employment for Cause by the Company which does not comply with the terms of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or</w:t>
      </w:r>
    </w:p>
    <w:p>
      <w:pPr>
        <w:spacing w:after="0" w:line="168" w:lineRule="exact"/>
        <w:rPr>
          <w:rFonts w:ascii="Times New Roman" w:cs="Times New Roman" w:eastAsia="Times New Roman" w:hAnsi="Times New Roman"/>
          <w:sz w:val="21"/>
          <w:szCs w:val="21"/>
          <w:color w:val="auto"/>
        </w:rPr>
      </w:pPr>
    </w:p>
    <w:p>
      <w:pPr>
        <w:ind w:left="1920" w:hanging="601"/>
        <w:spacing w:after="0" w:line="272" w:lineRule="auto"/>
        <w:tabs>
          <w:tab w:leader="none" w:pos="192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failure of the Company to obtain an agreement, satisfactory to the Executive, from any successor or assign of the Company to assume and agree to perform this Agreement, as contemplated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hereof.</w:t>
      </w:r>
    </w:p>
    <w:p>
      <w:pPr>
        <w:spacing w:after="0" w:line="1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A Good Reason termination shall not occur unless the Executive gives notice to the Company that an event or condition described in </w:t>
      </w:r>
      <w:r>
        <w:rPr>
          <w:rFonts w:ascii="Times New Roman" w:cs="Times New Roman" w:eastAsia="Times New Roman" w:hAnsi="Times New Roman"/>
          <w:sz w:val="21"/>
          <w:szCs w:val="21"/>
          <w:u w:val="single" w:color="auto"/>
          <w:color w:val="auto"/>
        </w:rPr>
        <w:t>Sections 2(d)(i) through (vii)</w:t>
      </w:r>
      <w:r>
        <w:rPr>
          <w:rFonts w:ascii="Times New Roman" w:cs="Times New Roman" w:eastAsia="Times New Roman" w:hAnsi="Times New Roman"/>
          <w:sz w:val="21"/>
          <w:szCs w:val="21"/>
          <w:color w:val="auto"/>
        </w:rPr>
        <w:t xml:space="preserve"> has occurred within a time period not to exceed ninety (90) days from the date of first occurrence of one of these events or conditions, and the Company shall have at least thirty (30) days from the time of that notice in which to remedy the event or condition described in </w:t>
      </w:r>
      <w:r>
        <w:rPr>
          <w:rFonts w:ascii="Times New Roman" w:cs="Times New Roman" w:eastAsia="Times New Roman" w:hAnsi="Times New Roman"/>
          <w:sz w:val="21"/>
          <w:szCs w:val="21"/>
          <w:u w:val="single" w:color="auto"/>
          <w:color w:val="auto"/>
        </w:rPr>
        <w:t>Sections 2(d)(i) through (vii)</w:t>
      </w:r>
      <w:r>
        <w:rPr>
          <w:rFonts w:ascii="Times New Roman" w:cs="Times New Roman" w:eastAsia="Times New Roman" w:hAnsi="Times New Roman"/>
          <w:sz w:val="21"/>
          <w:szCs w:val="21"/>
          <w:color w:val="auto"/>
        </w:rPr>
        <w:t xml:space="preserve">. The Executive’s right to terminate Executive’s employment pursuant to this </w:t>
      </w:r>
      <w:r>
        <w:rPr>
          <w:rFonts w:ascii="Times New Roman" w:cs="Times New Roman" w:eastAsia="Times New Roman" w:hAnsi="Times New Roman"/>
          <w:sz w:val="21"/>
          <w:szCs w:val="21"/>
          <w:u w:val="single" w:color="auto"/>
          <w:color w:val="auto"/>
        </w:rPr>
        <w:t>Section 2(d)</w:t>
      </w:r>
      <w:r>
        <w:rPr>
          <w:rFonts w:ascii="Times New Roman" w:cs="Times New Roman" w:eastAsia="Times New Roman" w:hAnsi="Times New Roman"/>
          <w:sz w:val="21"/>
          <w:szCs w:val="21"/>
          <w:color w:val="auto"/>
        </w:rPr>
        <w:t xml:space="preserve"> shall not be affected by Executive’s incapacity due to physical or mental illness.</w:t>
      </w:r>
    </w:p>
    <w:p>
      <w:pPr>
        <w:spacing w:after="0" w:line="196" w:lineRule="exact"/>
        <w:rPr>
          <w:sz w:val="20"/>
          <w:szCs w:val="20"/>
          <w:color w:val="auto"/>
        </w:rPr>
      </w:pPr>
    </w:p>
    <w:p>
      <w:pPr>
        <w:jc w:val="both"/>
        <w:ind w:left="1280" w:hanging="320"/>
        <w:spacing w:after="0" w:line="241" w:lineRule="auto"/>
        <w:tabs>
          <w:tab w:leader="none" w:pos="126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Protection Period</w:t>
      </w:r>
      <w:r>
        <w:rPr>
          <w:rFonts w:ascii="Times New Roman" w:cs="Times New Roman" w:eastAsia="Times New Roman" w:hAnsi="Times New Roman"/>
          <w:sz w:val="21"/>
          <w:szCs w:val="21"/>
          <w:color w:val="auto"/>
        </w:rPr>
        <w:t>” means (i) the period commencing on the earlier to occur of (1) a public announcement by the Company of a transaction that results in a Change in Control; and (2) the entry by the Company into a definitive agreement that results in a Change in Control, and ending upon the occurrence of a Change in Control (such period, the “</w:t>
      </w:r>
      <w:r>
        <w:rPr>
          <w:rFonts w:ascii="Times New Roman" w:cs="Times New Roman" w:eastAsia="Times New Roman" w:hAnsi="Times New Roman"/>
          <w:sz w:val="21"/>
          <w:szCs w:val="21"/>
          <w:i w:val="1"/>
          <w:iCs w:val="1"/>
          <w:color w:val="auto"/>
        </w:rPr>
        <w:t>Pre CIC Protection Period</w:t>
      </w:r>
      <w:r>
        <w:rPr>
          <w:rFonts w:ascii="Times New Roman" w:cs="Times New Roman" w:eastAsia="Times New Roman" w:hAnsi="Times New Roman"/>
          <w:sz w:val="21"/>
          <w:szCs w:val="21"/>
          <w:color w:val="auto"/>
        </w:rPr>
        <w:t>” and a termination that occurs during such period is hereinafter referred to as a “</w:t>
      </w:r>
      <w:r>
        <w:rPr>
          <w:rFonts w:ascii="Times New Roman" w:cs="Times New Roman" w:eastAsia="Times New Roman" w:hAnsi="Times New Roman"/>
          <w:sz w:val="21"/>
          <w:szCs w:val="21"/>
          <w:i w:val="1"/>
          <w:iCs w:val="1"/>
          <w:color w:val="auto"/>
        </w:rPr>
        <w:t>Pre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CIC Termination</w:t>
      </w:r>
      <w:r>
        <w:rPr>
          <w:rFonts w:ascii="Times New Roman" w:cs="Times New Roman" w:eastAsia="Times New Roman" w:hAnsi="Times New Roman"/>
          <w:sz w:val="21"/>
          <w:szCs w:val="21"/>
          <w:color w:val="auto"/>
        </w:rPr>
        <w:t>”); and (ii) the twenty-four (24) month period immediately following a Change in Control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termination that occurs during such period is hereinafter referred to as a “</w:t>
      </w:r>
      <w:r>
        <w:rPr>
          <w:rFonts w:ascii="Times New Roman" w:cs="Times New Roman" w:eastAsia="Times New Roman" w:hAnsi="Times New Roman"/>
          <w:sz w:val="21"/>
          <w:szCs w:val="21"/>
          <w:i w:val="1"/>
          <w:iCs w:val="1"/>
          <w:color w:val="auto"/>
        </w:rPr>
        <w:t>Post CIC Termination</w:t>
      </w:r>
      <w:r>
        <w:rPr>
          <w:rFonts w:ascii="Times New Roman" w:cs="Times New Roman" w:eastAsia="Times New Roman" w:hAnsi="Times New Roman"/>
          <w:sz w:val="21"/>
          <w:szCs w:val="21"/>
          <w:color w:val="auto"/>
        </w:rPr>
        <w:t>”); provided that, if prior to the commencement of the Pre CIC Protection Period, the Board, a committee of the Board, or an officer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 of 15</w:t>
      </w:r>
    </w:p>
    <w:p>
      <w:pPr>
        <w:sectPr>
          <w:pgSz w:w="11900" w:h="16838" w:orient="portrait"/>
          <w:cols w:equalWidth="0" w:num="1">
            <w:col w:w="11240"/>
          </w:cols>
          <w:pgMar w:left="320" w:top="1384" w:right="339" w:bottom="1440" w:gutter="0" w:footer="0" w:header="0"/>
        </w:sectPr>
      </w:pPr>
    </w:p>
    <w:bookmarkStart w:id="46" w:name="page47"/>
    <w:bookmarkEnd w:id="46"/>
    <w:p>
      <w:pPr>
        <w:jc w:val="both"/>
        <w:ind w:left="960"/>
        <w:spacing w:after="0" w:line="244" w:lineRule="auto"/>
        <w:rPr>
          <w:sz w:val="20"/>
          <w:szCs w:val="20"/>
          <w:color w:val="auto"/>
        </w:rPr>
      </w:pPr>
      <w:r>
        <w:rPr>
          <w:rFonts w:ascii="Times New Roman" w:cs="Times New Roman" w:eastAsia="Times New Roman" w:hAnsi="Times New Roman"/>
          <w:sz w:val="21"/>
          <w:szCs w:val="21"/>
          <w:color w:val="auto"/>
        </w:rPr>
        <w:t>officers) of the Company authorized to take such action (if Board action is not required) approves a restructuring or internal reorganization of the Company that results in the termination of the Executive’s employment during the Pre CIC Protection Period, then the Executive’s termination of employment shall be deemed to be unrelated to the Change in Control, shall be deemed to have occurred outside of the “Protection Period” for purposes of this Agreement and, as a result, the Executive shall not be entitled to the compensation and benefits under this Agreement.</w:t>
      </w:r>
    </w:p>
    <w:p>
      <w:pPr>
        <w:spacing w:after="0" w:line="200" w:lineRule="exact"/>
        <w:rPr>
          <w:sz w:val="20"/>
          <w:szCs w:val="20"/>
          <w:color w:val="auto"/>
        </w:rPr>
      </w:pPr>
    </w:p>
    <w:p>
      <w:pPr>
        <w:spacing w:after="0" w:line="229" w:lineRule="exact"/>
        <w:rPr>
          <w:sz w:val="20"/>
          <w:szCs w:val="20"/>
          <w:color w:val="auto"/>
        </w:rPr>
      </w:pPr>
    </w:p>
    <w:p>
      <w:pPr>
        <w:ind w:left="320" w:hanging="316"/>
        <w:spacing w:after="0" w:line="272" w:lineRule="auto"/>
        <w:tabs>
          <w:tab w:leader="none" w:pos="3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and Benefits</w:t>
      </w:r>
      <w:r>
        <w:rPr>
          <w:rFonts w:ascii="Times New Roman" w:cs="Times New Roman" w:eastAsia="Times New Roman" w:hAnsi="Times New Roman"/>
          <w:sz w:val="21"/>
          <w:szCs w:val="21"/>
          <w:color w:val="auto"/>
        </w:rPr>
        <w:t>. If, during the Term, the Executive’s employment with the Company is terminated during the Protection Period, the Executive shall be entitled to the following compensation and benefits:</w:t>
      </w:r>
    </w:p>
    <w:p>
      <w:pPr>
        <w:spacing w:after="0" w:line="168" w:lineRule="exact"/>
        <w:rPr>
          <w:rFonts w:ascii="Times New Roman" w:cs="Times New Roman" w:eastAsia="Times New Roman" w:hAnsi="Times New Roman"/>
          <w:sz w:val="21"/>
          <w:szCs w:val="21"/>
          <w:color w:val="auto"/>
        </w:rPr>
      </w:pPr>
    </w:p>
    <w:p>
      <w:pPr>
        <w:jc w:val="both"/>
        <w:ind w:left="960" w:hanging="320"/>
        <w:spacing w:after="0" w:line="238" w:lineRule="auto"/>
        <w:tabs>
          <w:tab w:leader="none" w:pos="94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with the Company is terminated during the Protection Period (1) by the Company for Cause or Disability, (2) by reason of the Executive's death, or (3) by the Executive for any reason other than for Good Reason, the Company shall pay the Executive all amounts earned or accrued but not paid as of the Termination Date (as hereinafter defined), including (i) base salary, (ii) reimbursement for reasonable and necessary expenses incurred by the Executive on behalf of the Company prior to the Termination Date, and (iii) vacation pay (collectively, “</w:t>
      </w:r>
      <w:r>
        <w:rPr>
          <w:rFonts w:ascii="Times New Roman" w:cs="Times New Roman" w:eastAsia="Times New Roman" w:hAnsi="Times New Roman"/>
          <w:sz w:val="21"/>
          <w:szCs w:val="21"/>
          <w:i w:val="1"/>
          <w:iCs w:val="1"/>
          <w:color w:val="auto"/>
        </w:rPr>
        <w:t>Accrued Compensation”</w:t>
      </w:r>
      <w:r>
        <w:rPr>
          <w:rFonts w:ascii="Times New Roman" w:cs="Times New Roman" w:eastAsia="Times New Roman" w:hAnsi="Times New Roman"/>
          <w:sz w:val="21"/>
          <w:szCs w:val="21"/>
          <w:color w:val="auto"/>
        </w:rPr>
        <w:t>). In addition to the foregoing, if the Executive’s employment is terminated during the Protection Period, by the Company for Disability or by reason of the Executive’s death, the Company shall pay to the Executive or Executive’s beneficiaries (as applicable) an amount equal to the Pro Rata Bonus (as hereinafter defined). The “</w:t>
      </w:r>
      <w:r>
        <w:rPr>
          <w:rFonts w:ascii="Times New Roman" w:cs="Times New Roman" w:eastAsia="Times New Roman" w:hAnsi="Times New Roman"/>
          <w:sz w:val="21"/>
          <w:szCs w:val="21"/>
          <w:i w:val="1"/>
          <w:iCs w:val="1"/>
          <w:color w:val="auto"/>
        </w:rPr>
        <w:t>Pro Rata Bonus”</w:t>
      </w:r>
      <w:r>
        <w:rPr>
          <w:rFonts w:ascii="Times New Roman" w:cs="Times New Roman" w:eastAsia="Times New Roman" w:hAnsi="Times New Roman"/>
          <w:sz w:val="21"/>
          <w:szCs w:val="21"/>
          <w:color w:val="auto"/>
        </w:rPr>
        <w:t xml:space="preserve"> is an amount equal to the Bonus Amount (as hereinafter defined) multiplied by a fraction the numerator of which is the number of days in such fiscal year through the Termination Date and the denominator of which is 365. The term “</w:t>
      </w:r>
      <w:r>
        <w:rPr>
          <w:rFonts w:ascii="Times New Roman" w:cs="Times New Roman" w:eastAsia="Times New Roman" w:hAnsi="Times New Roman"/>
          <w:sz w:val="21"/>
          <w:szCs w:val="21"/>
          <w:i w:val="1"/>
          <w:iCs w:val="1"/>
          <w:color w:val="auto"/>
        </w:rPr>
        <w:t>Bonus Amount”</w:t>
      </w:r>
      <w:r>
        <w:rPr>
          <w:rFonts w:ascii="Times New Roman" w:cs="Times New Roman" w:eastAsia="Times New Roman" w:hAnsi="Times New Roman"/>
          <w:sz w:val="21"/>
          <w:szCs w:val="21"/>
          <w:color w:val="auto"/>
        </w:rPr>
        <w:t xml:space="preserve"> shall mean the greater of the (x) Executive's target bonus (or if expressed as a range, the average of the low and high incentive targets of the range for each level) under the Campbell Soup Company Annual Incentive Plan (or any substitute or successor annual incentive plan) for the fiscal year in which the Termination Date occurs and (y) average of the annual bonuses paid or payable to the Executive during the two full fiscal years immediately prior to the Termination Date. Executive’s entitlement to any other compensation or benefits shall be determined in accordance with the Company’s employee benefit plans and other applicable programs and practices then in effect.</w:t>
      </w:r>
    </w:p>
    <w:p>
      <w:pPr>
        <w:spacing w:after="0" w:line="208" w:lineRule="exact"/>
        <w:rPr>
          <w:rFonts w:ascii="Times New Roman" w:cs="Times New Roman" w:eastAsia="Times New Roman" w:hAnsi="Times New Roman"/>
          <w:sz w:val="21"/>
          <w:szCs w:val="21"/>
          <w:color w:val="auto"/>
        </w:rPr>
      </w:pPr>
    </w:p>
    <w:p>
      <w:pPr>
        <w:jc w:val="both"/>
        <w:ind w:left="960" w:hanging="320"/>
        <w:spacing w:after="0" w:line="248" w:lineRule="auto"/>
        <w:tabs>
          <w:tab w:leader="none" w:pos="96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with the Company is terminated during the Protection Period (1) by the Company without Cause (excluding by reason of Executive’s death or Disability) or (2) by the Executive for Good Reason, the Executive shall be entitled to the following benefits:</w:t>
      </w:r>
    </w:p>
    <w:p>
      <w:pPr>
        <w:spacing w:after="0" w:line="192" w:lineRule="exact"/>
        <w:rPr>
          <w:rFonts w:ascii="Times New Roman" w:cs="Times New Roman" w:eastAsia="Times New Roman" w:hAnsi="Times New Roman"/>
          <w:sz w:val="21"/>
          <w:szCs w:val="21"/>
          <w:color w:val="auto"/>
        </w:rPr>
      </w:pPr>
    </w:p>
    <w:p>
      <w:pPr>
        <w:ind w:left="1600" w:hanging="436"/>
        <w:spacing w:after="0"/>
        <w:tabs>
          <w:tab w:leader="none" w:pos="1600"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Accrued Compensation and the Pro-Rata Bonus (each as defined in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ind w:left="1600" w:hanging="495"/>
        <w:spacing w:after="0" w:line="272" w:lineRule="auto"/>
        <w:tabs>
          <w:tab w:leader="none" w:pos="1600"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severance pay, and in lieu of any other compensation for periods subsequent to the Termination Date, a single lump sum cash payment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4 of 15</w:t>
      </w:r>
    </w:p>
    <w:p>
      <w:pPr>
        <w:sectPr>
          <w:pgSz w:w="11900" w:h="16838" w:orient="portrait"/>
          <w:cols w:equalWidth="0" w:num="1">
            <w:col w:w="10920"/>
          </w:cols>
          <w:pgMar w:left="640" w:top="1384" w:right="339" w:bottom="1440" w:gutter="0" w:footer="0" w:header="0"/>
        </w:sectPr>
      </w:pPr>
    </w:p>
    <w:bookmarkStart w:id="47" w:name="page48"/>
    <w:bookmarkEnd w:id="47"/>
    <w:p>
      <w:pPr>
        <w:ind w:left="8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Severance Amount</w:t>
      </w:r>
      <w:r>
        <w:rPr>
          <w:rFonts w:ascii="Times New Roman" w:cs="Times New Roman" w:eastAsia="Times New Roman" w:hAnsi="Times New Roman"/>
          <w:sz w:val="21"/>
          <w:szCs w:val="21"/>
          <w:color w:val="auto"/>
        </w:rPr>
        <w:t>”) equal to the amount set forth in paragraph (1) on Schedule A.</w:t>
      </w:r>
    </w:p>
    <w:p>
      <w:pPr>
        <w:spacing w:after="0" w:line="238" w:lineRule="exact"/>
        <w:rPr>
          <w:sz w:val="20"/>
          <w:szCs w:val="20"/>
          <w:color w:val="auto"/>
        </w:rPr>
      </w:pPr>
    </w:p>
    <w:p>
      <w:pPr>
        <w:jc w:val="both"/>
        <w:ind w:left="800" w:hanging="553"/>
        <w:spacing w:after="0" w:line="243" w:lineRule="auto"/>
        <w:tabs>
          <w:tab w:leader="none" w:pos="8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number of months equal to the number of months set forth in paragraph (2) on Schedule A (the “</w:t>
      </w:r>
      <w:r>
        <w:rPr>
          <w:rFonts w:ascii="Times New Roman" w:cs="Times New Roman" w:eastAsia="Times New Roman" w:hAnsi="Times New Roman"/>
          <w:sz w:val="21"/>
          <w:szCs w:val="21"/>
          <w:i w:val="1"/>
          <w:iCs w:val="1"/>
          <w:color w:val="auto"/>
        </w:rPr>
        <w:t>Continuation Period</w:t>
      </w:r>
      <w:r>
        <w:rPr>
          <w:rFonts w:ascii="Times New Roman" w:cs="Times New Roman" w:eastAsia="Times New Roman" w:hAnsi="Times New Roman"/>
          <w:sz w:val="21"/>
          <w:szCs w:val="21"/>
          <w:color w:val="auto"/>
        </w:rPr>
        <w:t>”), the Company shall at its expense continue to provide the Executive and the Executive’s dependents and beneficiaries with life insurance and medical benefits in an amount equal to the greater of: (x) the greater of (as applicable) (1) such benefits provided to the Executive at any time during the</w:t>
      </w:r>
    </w:p>
    <w:p>
      <w:pPr>
        <w:ind w:left="800"/>
        <w:spacing w:after="0" w:line="223" w:lineRule="auto"/>
        <w:rPr>
          <w:sz w:val="20"/>
          <w:szCs w:val="20"/>
          <w:color w:val="auto"/>
        </w:rPr>
      </w:pPr>
      <w:r>
        <w:rPr>
          <w:rFonts w:ascii="Times New Roman" w:cs="Times New Roman" w:eastAsia="Times New Roman" w:hAnsi="Times New Roman"/>
          <w:sz w:val="21"/>
          <w:szCs w:val="21"/>
          <w:color w:val="auto"/>
        </w:rPr>
        <w:t>90-day period immediately prior to the Change in Control (or Termination Date for a Pre CIC Termination) or</w:t>
      </w:r>
    </w:p>
    <w:p>
      <w:pPr>
        <w:spacing w:after="0" w:line="1" w:lineRule="exact"/>
        <w:rPr>
          <w:sz w:val="20"/>
          <w:szCs w:val="20"/>
          <w:color w:val="auto"/>
        </w:rPr>
      </w:pPr>
    </w:p>
    <w:p>
      <w:pPr>
        <w:jc w:val="both"/>
        <w:ind w:left="800" w:hanging="6"/>
        <w:spacing w:after="0" w:line="237" w:lineRule="auto"/>
        <w:tabs>
          <w:tab w:leader="none" w:pos="1117"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benefits provided to the Executive at any time following the Change in Control and (y) the benefits provided to other similarly situated executives who continue in the employ of the Company during the Continuation Period. The coverage and benefits (including deductibles and costs) provided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3(b)(iii)</w:t>
      </w:r>
      <w:r>
        <w:rPr>
          <w:rFonts w:ascii="Times New Roman" w:cs="Times New Roman" w:eastAsia="Times New Roman" w:hAnsi="Times New Roman"/>
          <w:sz w:val="21"/>
          <w:szCs w:val="21"/>
          <w:color w:val="auto"/>
        </w:rPr>
        <w:t xml:space="preserve"> during the Continuation Period shall be no less favorable to the Executive and the Executive’s dependents and beneficiaries, than the most favorable of such coverages and benefits provided during any of the periods referred to in clauses (x) and (y) above. The Company’s obligation hereunder with respect to the foregoing benefits shall be limited to the extent that the Executive obtains any such benefits pursuant to a subsequent employer's benefit plans, in which case the Company may reduce the coverage of any benefits it is required to provide the Executive hereunder as long as the aggregate coverages and benefits of the combined benefit plans is no less favorable to the Executive than the coverages and benefits required to be provided hereunder. This </w:t>
      </w:r>
      <w:r>
        <w:rPr>
          <w:rFonts w:ascii="Times New Roman" w:cs="Times New Roman" w:eastAsia="Times New Roman" w:hAnsi="Times New Roman"/>
          <w:sz w:val="21"/>
          <w:szCs w:val="21"/>
          <w:u w:val="single" w:color="auto"/>
          <w:color w:val="auto"/>
        </w:rPr>
        <w:t>subsection (iii)</w:t>
      </w:r>
      <w:r>
        <w:rPr>
          <w:rFonts w:ascii="Times New Roman" w:cs="Times New Roman" w:eastAsia="Times New Roman" w:hAnsi="Times New Roman"/>
          <w:sz w:val="21"/>
          <w:szCs w:val="21"/>
          <w:color w:val="auto"/>
        </w:rPr>
        <w:t xml:space="preserve"> shall not be interpreted so as to limit any benefits to which the Executive or the Executive’s dependents or beneficiaries may be entitled under any of the Company's employee benefit plans, programs or practices following the Executive's termination of employment, including without limitation, life insurance benefits.</w:t>
      </w:r>
    </w:p>
    <w:p>
      <w:pPr>
        <w:spacing w:after="0" w:line="201" w:lineRule="exact"/>
        <w:rPr>
          <w:rFonts w:ascii="Times New Roman" w:cs="Times New Roman" w:eastAsia="Times New Roman" w:hAnsi="Times New Roman"/>
          <w:sz w:val="21"/>
          <w:szCs w:val="21"/>
          <w:color w:val="auto"/>
        </w:rPr>
      </w:pPr>
    </w:p>
    <w:p>
      <w:pPr>
        <w:jc w:val="both"/>
        <w:ind w:left="800" w:hanging="542"/>
        <w:spacing w:after="0" w:line="238" w:lineRule="auto"/>
        <w:tabs>
          <w:tab w:leader="none" w:pos="78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single lump sum cash payment equal to the actuarial equivalent of the excess of (A) the Supplemental Retirement Benefit (determined as a straight life annuity commencing at age 65) over (B) the lump sum actuarial equivalent of the aggregate retirement benefit the Executive has actually accrued under such retirement plans as of the Termination Date (determined as a straight life annuity commencing at age 65). For purposes of this </w:t>
      </w:r>
      <w:r>
        <w:rPr>
          <w:rFonts w:ascii="Times New Roman" w:cs="Times New Roman" w:eastAsia="Times New Roman" w:hAnsi="Times New Roman"/>
          <w:sz w:val="21"/>
          <w:szCs w:val="21"/>
          <w:u w:val="single" w:color="auto"/>
          <w:color w:val="auto"/>
        </w:rPr>
        <w:t>subsection (iv)</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i w:val="1"/>
          <w:iCs w:val="1"/>
          <w:color w:val="auto"/>
        </w:rPr>
        <w:t>Supplemental Retirement Benefit</w:t>
      </w:r>
      <w:r>
        <w:rPr>
          <w:rFonts w:ascii="Times New Roman" w:cs="Times New Roman" w:eastAsia="Times New Roman" w:hAnsi="Times New Roman"/>
          <w:sz w:val="21"/>
          <w:szCs w:val="21"/>
          <w:color w:val="auto"/>
        </w:rPr>
        <w:t>” shall mean the lump sum actuarial equivalent of the aggregate retirement benefit the Executive would have been entitled to receive under the Company's supplemental and other retirement plans (as applicable) including, but not limited to, the Campbell Soup Company 401(k) Retirement Plan and the Campbell Soup Company Supplemental Retirement Plan (as applicable) determined as if (w) the Executive remained employed by the Company and accumulated additional months of credited service as set forth in paragraph (3) on Schedule A (but in no event shall the Executive be deemed to have accumulated additional credited service after attaining age 65),</w:t>
      </w:r>
    </w:p>
    <w:p>
      <w:pPr>
        <w:ind w:left="8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Executive’s annual compensation during such period had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5 of 15</w:t>
      </w:r>
    </w:p>
    <w:p>
      <w:pPr>
        <w:sectPr>
          <w:pgSz w:w="11900" w:h="16838" w:orient="portrait"/>
          <w:cols w:equalWidth="0" w:num="1">
            <w:col w:w="10120"/>
          </w:cols>
          <w:pgMar w:left="1440" w:top="1382" w:right="339" w:bottom="1440" w:gutter="0" w:footer="0" w:header="0"/>
        </w:sectPr>
      </w:pPr>
    </w:p>
    <w:bookmarkStart w:id="48" w:name="page49"/>
    <w:bookmarkEnd w:id="48"/>
    <w:p>
      <w:pPr>
        <w:jc w:val="both"/>
        <w:ind w:left="960"/>
        <w:spacing w:after="0" w:line="239" w:lineRule="auto"/>
        <w:rPr>
          <w:sz w:val="20"/>
          <w:szCs w:val="20"/>
          <w:color w:val="auto"/>
        </w:rPr>
      </w:pPr>
      <w:r>
        <w:rPr>
          <w:rFonts w:ascii="Times New Roman" w:cs="Times New Roman" w:eastAsia="Times New Roman" w:hAnsi="Times New Roman"/>
          <w:sz w:val="21"/>
          <w:szCs w:val="21"/>
          <w:color w:val="auto"/>
        </w:rPr>
        <w:t xml:space="preserve">equal to the sum of (A) the greater of (as applicable) (1) the Executive’s annual base salary in effect at any time during the 90-day period immediately prior to the Change in Control (or the delivery of a Notice of Termination in the event of a Pre CIC Termination) and (2) the Executive’s annual base salary in effect at any time following the Change in Control and (B) the Bonus Amount, (y) the Company and/or the Subsidiary or division made employer contributions to each defined contribution plan (including the Campbell Soup Company Supplemental Retirement Plan) in which the Executive was a participant at the Termination Date (in an amount equal to the amount of such contribution for the applicable plan year immediately preceding the Termination Date) and (z) the Executive had been fully (100%) vested in the Executive’s benefit under each retirement plan in which the Executive was a participant. For purposes of this </w:t>
      </w:r>
      <w:r>
        <w:rPr>
          <w:rFonts w:ascii="Times New Roman" w:cs="Times New Roman" w:eastAsia="Times New Roman" w:hAnsi="Times New Roman"/>
          <w:sz w:val="21"/>
          <w:szCs w:val="21"/>
          <w:u w:val="single" w:color="auto"/>
          <w:color w:val="auto"/>
        </w:rPr>
        <w:t>subsection (iv)</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i w:val="1"/>
          <w:iCs w:val="1"/>
          <w:color w:val="auto"/>
        </w:rPr>
        <w:t>actuarial equivalent</w:t>
      </w:r>
      <w:r>
        <w:rPr>
          <w:rFonts w:ascii="Times New Roman" w:cs="Times New Roman" w:eastAsia="Times New Roman" w:hAnsi="Times New Roman"/>
          <w:sz w:val="21"/>
          <w:szCs w:val="21"/>
          <w:color w:val="auto"/>
        </w:rPr>
        <w:t>” shall be determined in accordance with the actuarial assumptions used for the calculation of benefits under the Company Retirement and Pension Plan as applied in accordance with such plan's past practices.</w:t>
      </w:r>
    </w:p>
    <w:p>
      <w:pPr>
        <w:spacing w:after="0" w:line="202" w:lineRule="exact"/>
        <w:rPr>
          <w:sz w:val="20"/>
          <w:szCs w:val="20"/>
          <w:color w:val="auto"/>
        </w:rPr>
      </w:pPr>
    </w:p>
    <w:p>
      <w:pPr>
        <w:jc w:val="both"/>
        <w:ind w:left="960" w:hanging="483"/>
        <w:spacing w:after="0" w:line="239" w:lineRule="auto"/>
        <w:tabs>
          <w:tab w:leader="none" w:pos="94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a Change in Control, to the extent permitted by applicable law, the Executive may require the Company to repurchase up to one-hundred percent (100%) of the Executive’s unrestricted shares of Company common stock received in connection with the settlement or exercise of Equity Awards (as defined below) for Fair Market Value (as defined in the Equity Plan) (the “</w:t>
      </w:r>
      <w:r>
        <w:rPr>
          <w:rFonts w:ascii="Times New Roman" w:cs="Times New Roman" w:eastAsia="Times New Roman" w:hAnsi="Times New Roman"/>
          <w:sz w:val="21"/>
          <w:szCs w:val="21"/>
          <w:i w:val="1"/>
          <w:iCs w:val="1"/>
          <w:color w:val="auto"/>
        </w:rPr>
        <w:t>Put Right</w:t>
      </w:r>
      <w:r>
        <w:rPr>
          <w:rFonts w:ascii="Times New Roman" w:cs="Times New Roman" w:eastAsia="Times New Roman" w:hAnsi="Times New Roman"/>
          <w:sz w:val="21"/>
          <w:szCs w:val="21"/>
          <w:color w:val="auto"/>
        </w:rPr>
        <w:t>”). Fair Market Value shall be determined as of the day immediately prior to the date on which the Executive delivers written notice to the Company of the Executive’s decision to exercise the Put Right, and the Company shall effect the repurchase within 30 days following receipt of such written notice. The repurchase price shall be payable in cash or cash equivalent. The Put Right must be exercised no later than three months following the Termination Date. For the avoidance of doubt, in the event the Executive’s Termination Date is more than three months prior to the date of the Change in Control, the Put Right shall not be applicable to the Executive.</w:t>
      </w:r>
    </w:p>
    <w:p>
      <w:pPr>
        <w:spacing w:after="0" w:line="205" w:lineRule="exact"/>
        <w:rPr>
          <w:sz w:val="20"/>
          <w:szCs w:val="20"/>
          <w:color w:val="auto"/>
        </w:rPr>
      </w:pPr>
    </w:p>
    <w:p>
      <w:pPr>
        <w:jc w:val="both"/>
        <w:ind w:left="960" w:hanging="542"/>
        <w:spacing w:after="0" w:line="254" w:lineRule="auto"/>
        <w:tabs>
          <w:tab w:leader="none" w:pos="96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cash amounts provided for in this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shall be paid (i) within thirty (30) days after the Executive’s Termination Date if the termination is a Post CIC Termination; or (ii) within thirty (30) days following a Change in Control if the termination is a Pre CIC Termination.</w:t>
      </w:r>
    </w:p>
    <w:p>
      <w:pPr>
        <w:spacing w:after="0" w:line="187" w:lineRule="exact"/>
        <w:rPr>
          <w:rFonts w:ascii="Times New Roman" w:cs="Times New Roman" w:eastAsia="Times New Roman" w:hAnsi="Times New Roman"/>
          <w:sz w:val="21"/>
          <w:szCs w:val="21"/>
          <w:color w:val="auto"/>
        </w:rPr>
      </w:pPr>
    </w:p>
    <w:p>
      <w:pPr>
        <w:jc w:val="both"/>
        <w:ind w:left="320" w:hanging="320"/>
        <w:spacing w:after="0" w:line="244" w:lineRule="auto"/>
        <w:tabs>
          <w:tab w:leader="none" w:pos="30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except as provided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3(b)(iii)</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42" w:lineRule="exact"/>
        <w:rPr>
          <w:rFonts w:ascii="Times New Roman" w:cs="Times New Roman" w:eastAsia="Times New Roman" w:hAnsi="Times New Roman"/>
          <w:sz w:val="21"/>
          <w:szCs w:val="21"/>
          <w:color w:val="auto"/>
        </w:rPr>
      </w:pPr>
    </w:p>
    <w:p>
      <w:pPr>
        <w:ind w:left="320" w:hanging="320"/>
        <w:spacing w:after="0" w:line="272" w:lineRule="auto"/>
        <w:tabs>
          <w:tab w:leader="none" w:pos="3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severance pay and benefits provided for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shall be in lieu of any other severance pay to which the Executive may be entitled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6 of 15</w:t>
      </w:r>
    </w:p>
    <w:p>
      <w:pPr>
        <w:sectPr>
          <w:pgSz w:w="11900" w:h="16838" w:orient="portrait"/>
          <w:cols w:equalWidth="0" w:num="1">
            <w:col w:w="10280"/>
          </w:cols>
          <w:pgMar w:left="1280" w:top="1384" w:right="339" w:bottom="1440" w:gutter="0" w:footer="0" w:header="0"/>
        </w:sectPr>
      </w:pPr>
    </w:p>
    <w:bookmarkStart w:id="49" w:name="page50"/>
    <w:bookmarkEnd w:id="49"/>
    <w:p>
      <w:pPr>
        <w:jc w:val="both"/>
        <w:ind w:left="956"/>
        <w:spacing w:after="0" w:line="239" w:lineRule="auto"/>
        <w:rPr>
          <w:sz w:val="20"/>
          <w:szCs w:val="20"/>
          <w:color w:val="auto"/>
        </w:rPr>
      </w:pPr>
      <w:r>
        <w:rPr>
          <w:rFonts w:ascii="Times New Roman" w:cs="Times New Roman" w:eastAsia="Times New Roman" w:hAnsi="Times New Roman"/>
          <w:sz w:val="21"/>
          <w:szCs w:val="21"/>
          <w:color w:val="auto"/>
        </w:rPr>
        <w:t xml:space="preserve">Company severance plan, program or arrangement. If in connection with a Pre CIC Termination (during the Protection Period) the Executive receives any severance payments or benefits under any Company severance plan, program or arrangement (including the Campbell Soup Company Executive Severance Pay Plan or the Campbell Soup Company Severance Pay Plan for Salaried Employees, as applicable), such payments or benefits, and the Executive’s participation in such plan, program or arrangement shall cease upon the occurrence of a Change in Control and any further severance payments or benefits shall be provided in accordance with this Agreement; provided, however, (1) that any amounts payable under </w:t>
      </w:r>
      <w:r>
        <w:rPr>
          <w:rFonts w:ascii="Times New Roman" w:cs="Times New Roman" w:eastAsia="Times New Roman" w:hAnsi="Times New Roman"/>
          <w:sz w:val="21"/>
          <w:szCs w:val="21"/>
          <w:u w:val="single" w:color="auto"/>
          <w:color w:val="auto"/>
        </w:rPr>
        <w:t>Section 3(b)(ii)</w:t>
      </w:r>
      <w:r>
        <w:rPr>
          <w:rFonts w:ascii="Times New Roman" w:cs="Times New Roman" w:eastAsia="Times New Roman" w:hAnsi="Times New Roman"/>
          <w:sz w:val="21"/>
          <w:szCs w:val="21"/>
          <w:color w:val="auto"/>
        </w:rPr>
        <w:t xml:space="preserve"> of this Agreement shall be reduced (on a dollar for dollar basis) by the amount of cash severance that the Executive has received prior to the Change in Control under any other Company severance plan, program or arrangement; and (2) the Continuation Period shall be reduced (on a month for month basis) by the number of months during which the Executive received life insurance and medical benefits, as applicable, prior to the Change in Control under any other Company severance plan, program or arrangement.</w:t>
      </w:r>
    </w:p>
    <w:p>
      <w:pPr>
        <w:spacing w:after="0" w:line="202" w:lineRule="exact"/>
        <w:rPr>
          <w:sz w:val="20"/>
          <w:szCs w:val="20"/>
          <w:color w:val="auto"/>
        </w:rPr>
      </w:pPr>
    </w:p>
    <w:p>
      <w:pPr>
        <w:ind w:left="316" w:hanging="316"/>
        <w:spacing w:after="0"/>
        <w:tabs>
          <w:tab w:leader="none" w:pos="31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Equity Awards</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left="956" w:hanging="320"/>
        <w:spacing w:after="0"/>
        <w:tabs>
          <w:tab w:leader="none" w:pos="94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and following a Change in Control (including upon the occurrence of a Post CIC Termination, if applicable), the Executive’s equity incentive awards granted under the Equity Plan or the Campbell Soup Company 2015 Long-Term Incentive Plan (the “</w:t>
      </w:r>
      <w:r>
        <w:rPr>
          <w:rFonts w:ascii="Times New Roman" w:cs="Times New Roman" w:eastAsia="Times New Roman" w:hAnsi="Times New Roman"/>
          <w:sz w:val="21"/>
          <w:szCs w:val="21"/>
          <w:i w:val="1"/>
          <w:iCs w:val="1"/>
          <w:color w:val="auto"/>
        </w:rPr>
        <w:t>Equity Awards</w:t>
      </w:r>
      <w:r>
        <w:rPr>
          <w:rFonts w:ascii="Times New Roman" w:cs="Times New Roman" w:eastAsia="Times New Roman" w:hAnsi="Times New Roman"/>
          <w:sz w:val="21"/>
          <w:szCs w:val="21"/>
          <w:color w:val="auto"/>
        </w:rPr>
        <w:t>”) shall be governed by the terms of Section 12.3 of the Equity Plan as in effect from time to time (subject to the amendment limitations set forth in Section 12.4 of the Equity Plan). For the avoidance of doubt, the terms of Section 12.3 of the Equity Plan shall apply to Equity Awards granted under the Campbell Soup Company 2015 Long-Term Incentive Plan as if such Equity Awards had been granted under the Equity Plan.</w:t>
      </w:r>
    </w:p>
    <w:p>
      <w:pPr>
        <w:spacing w:after="0" w:line="204" w:lineRule="exact"/>
        <w:rPr>
          <w:rFonts w:ascii="Times New Roman" w:cs="Times New Roman" w:eastAsia="Times New Roman" w:hAnsi="Times New Roman"/>
          <w:sz w:val="21"/>
          <w:szCs w:val="21"/>
          <w:color w:val="auto"/>
        </w:rPr>
      </w:pPr>
    </w:p>
    <w:p>
      <w:pPr>
        <w:jc w:val="both"/>
        <w:ind w:left="956" w:hanging="320"/>
        <w:spacing w:after="0" w:line="254" w:lineRule="auto"/>
        <w:tabs>
          <w:tab w:leader="none" w:pos="95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a Pre CIC Termination (1) by the Company without Cause (excluding by reason of Executive’s death or Disability) or (2) by the Executive for Good Reason, the provisions set forth on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shall apply to the Equity Awards.</w:t>
      </w:r>
    </w:p>
    <w:p>
      <w:pPr>
        <w:spacing w:after="0" w:line="187" w:lineRule="exact"/>
        <w:rPr>
          <w:rFonts w:ascii="Times New Roman" w:cs="Times New Roman" w:eastAsia="Times New Roman" w:hAnsi="Times New Roman"/>
          <w:sz w:val="21"/>
          <w:szCs w:val="21"/>
          <w:color w:val="auto"/>
        </w:rPr>
      </w:pPr>
    </w:p>
    <w:p>
      <w:pPr>
        <w:jc w:val="both"/>
        <w:ind w:left="956" w:hanging="320"/>
        <w:spacing w:after="0" w:line="254" w:lineRule="auto"/>
        <w:tabs>
          <w:tab w:leader="none" w:pos="94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shall not prohibit the Company from making a payment to the Executive in respect of the Equity Award on an earlier date, upon or within thirty days following a Change in Control, to the extent such payment would not result in additional taxes under Section 409A.</w:t>
      </w:r>
    </w:p>
    <w:p>
      <w:pPr>
        <w:spacing w:after="0" w:line="187" w:lineRule="exact"/>
        <w:rPr>
          <w:rFonts w:ascii="Times New Roman" w:cs="Times New Roman" w:eastAsia="Times New Roman" w:hAnsi="Times New Roman"/>
          <w:sz w:val="21"/>
          <w:szCs w:val="21"/>
          <w:color w:val="auto"/>
        </w:rPr>
      </w:pPr>
    </w:p>
    <w:p>
      <w:pPr>
        <w:jc w:val="both"/>
        <w:ind w:left="316" w:hanging="316"/>
        <w:spacing w:after="0" w:line="241" w:lineRule="auto"/>
        <w:tabs>
          <w:tab w:leader="none" w:pos="31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Any purported termination of the Executive's employment by the Company or by the Executive (other than a termination due to the Executive’s death) shall be communicated by a written Notice of Termination to the other party in accordance with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For purposes of this Agreement, a “Notice of Termination” shall mean a notice which indicates the specific termination provision in this Agreement relied upon and shall set forth in reasonable detail the facts and circumstances that provide a basis for a termination of the Executive’s employment under the provision so indicated. For purposes of this Agreement, no such purported termination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216"/>
        <w:spacing w:after="0"/>
        <w:rPr>
          <w:sz w:val="20"/>
          <w:szCs w:val="20"/>
          <w:color w:val="auto"/>
        </w:rPr>
      </w:pPr>
      <w:r>
        <w:rPr>
          <w:rFonts w:ascii="Times New Roman" w:cs="Times New Roman" w:eastAsia="Times New Roman" w:hAnsi="Times New Roman"/>
          <w:sz w:val="13"/>
          <w:szCs w:val="13"/>
          <w:color w:val="auto"/>
        </w:rPr>
        <w:t>Page 7 of 15</w:t>
      </w:r>
    </w:p>
    <w:p>
      <w:pPr>
        <w:sectPr>
          <w:pgSz w:w="11900" w:h="16838" w:orient="portrait"/>
          <w:cols w:equalWidth="0" w:num="1">
            <w:col w:w="10916"/>
          </w:cols>
          <w:pgMar w:left="644" w:top="1384" w:right="339" w:bottom="1440" w:gutter="0" w:footer="0" w:header="0"/>
        </w:sectPr>
      </w:pPr>
    </w:p>
    <w:bookmarkStart w:id="50" w:name="page51"/>
    <w:bookmarkEnd w:id="50"/>
    <w:p>
      <w:pPr>
        <w:ind w:left="316"/>
        <w:spacing w:after="0"/>
        <w:rPr>
          <w:sz w:val="20"/>
          <w:szCs w:val="20"/>
          <w:color w:val="auto"/>
        </w:rPr>
      </w:pPr>
      <w:r>
        <w:rPr>
          <w:rFonts w:ascii="Times New Roman" w:cs="Times New Roman" w:eastAsia="Times New Roman" w:hAnsi="Times New Roman"/>
          <w:sz w:val="21"/>
          <w:szCs w:val="21"/>
          <w:color w:val="auto"/>
        </w:rPr>
        <w:t>termination due to the Executive’s death) shall be effective without such Notice of Termination.</w:t>
      </w:r>
    </w:p>
    <w:p>
      <w:pPr>
        <w:spacing w:after="0" w:line="236" w:lineRule="exact"/>
        <w:rPr>
          <w:sz w:val="20"/>
          <w:szCs w:val="20"/>
          <w:color w:val="auto"/>
        </w:rPr>
      </w:pPr>
    </w:p>
    <w:p>
      <w:pPr>
        <w:ind w:left="316" w:hanging="316"/>
        <w:spacing w:after="0" w:line="272" w:lineRule="auto"/>
        <w:tabs>
          <w:tab w:leader="none" w:pos="31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For purposes of this Agreement, “Termination Date” means, in the case of the Executive’s death, the date of the Executive’s death, and in all other cases, the date specified in the Notice of Termination subject to the following:</w:t>
      </w:r>
    </w:p>
    <w:p>
      <w:pPr>
        <w:spacing w:after="0" w:line="168" w:lineRule="exact"/>
        <w:rPr>
          <w:rFonts w:ascii="Times New Roman" w:cs="Times New Roman" w:eastAsia="Times New Roman" w:hAnsi="Times New Roman"/>
          <w:sz w:val="21"/>
          <w:szCs w:val="21"/>
          <w:color w:val="auto"/>
        </w:rPr>
      </w:pPr>
    </w:p>
    <w:p>
      <w:pPr>
        <w:jc w:val="both"/>
        <w:ind w:left="956" w:hanging="320"/>
        <w:spacing w:after="0" w:line="244" w:lineRule="auto"/>
        <w:tabs>
          <w:tab w:leader="none" w:pos="94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Executive’s employment is terminated by the Company for Cause or due to Disability, the date specified in the Notice of Termination shall be at least thirty (30) days from the date the Notice of Termination is given to the Executive,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Disability the Executive shall not have returned to the full-time performance of the Executive’s duties during such period; and</w:t>
      </w:r>
    </w:p>
    <w:p>
      <w:pPr>
        <w:spacing w:after="0" w:line="197" w:lineRule="exact"/>
        <w:rPr>
          <w:rFonts w:ascii="Times New Roman" w:cs="Times New Roman" w:eastAsia="Times New Roman" w:hAnsi="Times New Roman"/>
          <w:sz w:val="21"/>
          <w:szCs w:val="21"/>
          <w:color w:val="auto"/>
        </w:rPr>
      </w:pPr>
    </w:p>
    <w:p>
      <w:pPr>
        <w:ind w:left="956" w:hanging="320"/>
        <w:spacing w:after="0" w:line="272" w:lineRule="auto"/>
        <w:tabs>
          <w:tab w:leader="none" w:pos="95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resigns for Good Reason, the date specified in the Notice of Termination shall not be more than sixty (60) days from the date the Notice of Termination is given to the Company.</w:t>
      </w:r>
    </w:p>
    <w:p>
      <w:pPr>
        <w:spacing w:after="0" w:line="168" w:lineRule="exact"/>
        <w:rPr>
          <w:rFonts w:ascii="Times New Roman" w:cs="Times New Roman" w:eastAsia="Times New Roman" w:hAnsi="Times New Roman"/>
          <w:sz w:val="21"/>
          <w:szCs w:val="21"/>
          <w:color w:val="auto"/>
        </w:rPr>
      </w:pPr>
    </w:p>
    <w:p>
      <w:pPr>
        <w:jc w:val="both"/>
        <w:ind w:left="956" w:hanging="320"/>
        <w:spacing w:after="0" w:line="239" w:lineRule="auto"/>
        <w:tabs>
          <w:tab w:leader="none" w:pos="94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in this Agreement to the contrary, the termination of the Executive's employment in connection with a Change in Control that results in the sale, divestiture or other disposition of a division, group or business unit of the Company (or part thereof) at which the Executive was employed at the time of such sale, divestiture or other disposition, shall not be deemed to be a termination of employment of the Executive for purposes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(i) the Executive is offered employment by the purchaser or acquiror of such division, group or business unit of the Company on terms (including, without limitation, those relating to position, compensation, employee benefits and principal place of employment) that are substantially similar to those provided by the Company to the Executive immediately prior to such sale, divestiture or other disposition and (ii) the Company obtains an agreement from such purchaser or acquiror as contemplated in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If the requirements of this </w:t>
      </w:r>
      <w:r>
        <w:rPr>
          <w:rFonts w:ascii="Times New Roman" w:cs="Times New Roman" w:eastAsia="Times New Roman" w:hAnsi="Times New Roman"/>
          <w:sz w:val="21"/>
          <w:szCs w:val="21"/>
          <w:u w:val="single" w:color="auto"/>
          <w:color w:val="auto"/>
        </w:rPr>
        <w:t>Section 6(c)(i)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(c)(ii)</w:t>
      </w:r>
      <w:r>
        <w:rPr>
          <w:rFonts w:ascii="Times New Roman" w:cs="Times New Roman" w:eastAsia="Times New Roman" w:hAnsi="Times New Roman"/>
          <w:sz w:val="21"/>
          <w:szCs w:val="21"/>
          <w:color w:val="auto"/>
        </w:rPr>
        <w:t xml:space="preserve"> are satisfied, the Executive shall not be entitled to any benefits from the Company under this Agreement as a result of such sale, divestiture, or other disposition, or as a result of any subsequent termination of employment.</w:t>
      </w:r>
    </w:p>
    <w:p>
      <w:pPr>
        <w:spacing w:after="0" w:line="201" w:lineRule="exact"/>
        <w:rPr>
          <w:rFonts w:ascii="Times New Roman" w:cs="Times New Roman" w:eastAsia="Times New Roman" w:hAnsi="Times New Roman"/>
          <w:sz w:val="21"/>
          <w:szCs w:val="21"/>
          <w:color w:val="auto"/>
        </w:rPr>
      </w:pPr>
    </w:p>
    <w:p>
      <w:pPr>
        <w:ind w:left="316" w:hanging="316"/>
        <w:spacing w:after="0"/>
        <w:tabs>
          <w:tab w:leader="none" w:pos="31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Binding Agreement</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left="956" w:hanging="320"/>
        <w:spacing w:after="0"/>
        <w:tabs>
          <w:tab w:leader="none" w:pos="94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shall be binding upon and shall inure to the benefit of the Company, its successors and assigns and the Company shall require any successor or assign to expressly assume and agree to perform this Agreement in the same manner and to the same extent that the Company would be required to perform it if no such succession or assignment had taken place. In such event, the term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xml:space="preserve"> as used herein shall include such successors and assigns. The term “</w:t>
      </w:r>
      <w:r>
        <w:rPr>
          <w:rFonts w:ascii="Times New Roman" w:cs="Times New Roman" w:eastAsia="Times New Roman" w:hAnsi="Times New Roman"/>
          <w:sz w:val="21"/>
          <w:szCs w:val="21"/>
          <w:i w:val="1"/>
          <w:iCs w:val="1"/>
          <w:color w:val="auto"/>
        </w:rPr>
        <w:t>successors and assigns”</w:t>
      </w:r>
      <w:r>
        <w:rPr>
          <w:rFonts w:ascii="Times New Roman" w:cs="Times New Roman" w:eastAsia="Times New Roman" w:hAnsi="Times New Roman"/>
          <w:sz w:val="21"/>
          <w:szCs w:val="21"/>
          <w:color w:val="auto"/>
        </w:rPr>
        <w:t xml:space="preserve"> as used herein shall mean a corporation or other entity acquiring all or substantially all the assets and business of the Company (including this Agreement) whether by operation of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216"/>
        <w:spacing w:after="0"/>
        <w:rPr>
          <w:sz w:val="20"/>
          <w:szCs w:val="20"/>
          <w:color w:val="auto"/>
        </w:rPr>
      </w:pPr>
      <w:r>
        <w:rPr>
          <w:rFonts w:ascii="Times New Roman" w:cs="Times New Roman" w:eastAsia="Times New Roman" w:hAnsi="Times New Roman"/>
          <w:sz w:val="13"/>
          <w:szCs w:val="13"/>
          <w:color w:val="auto"/>
        </w:rPr>
        <w:t>Page 8 of 15</w:t>
      </w:r>
    </w:p>
    <w:p>
      <w:pPr>
        <w:sectPr>
          <w:pgSz w:w="11900" w:h="16838" w:orient="portrait"/>
          <w:cols w:equalWidth="0" w:num="1">
            <w:col w:w="10916"/>
          </w:cols>
          <w:pgMar w:left="644" w:top="1384" w:right="339" w:bottom="1440" w:gutter="0" w:footer="0" w:header="0"/>
        </w:sectPr>
      </w:pPr>
    </w:p>
    <w:bookmarkStart w:id="51" w:name="page52"/>
    <w:bookmarkEnd w:id="51"/>
    <w:p>
      <w:pPr>
        <w:jc w:val="both"/>
        <w:ind w:left="960" w:hanging="320"/>
        <w:spacing w:after="0" w:line="254" w:lineRule="auto"/>
        <w:tabs>
          <w:tab w:leader="none" w:pos="960"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this Agreement nor any right or interest hereunder shall be assignable or transferable by the Executive, his beneficiaries or legal representatives, except by will or by the laws of descent and distribution. This Agreement shall inure to the benefit of and be enforceable by the Executive's legal personal representative.</w:t>
      </w:r>
    </w:p>
    <w:p>
      <w:pPr>
        <w:spacing w:after="0" w:line="187" w:lineRule="exact"/>
        <w:rPr>
          <w:rFonts w:ascii="Times New Roman" w:cs="Times New Roman" w:eastAsia="Times New Roman" w:hAnsi="Times New Roman"/>
          <w:sz w:val="21"/>
          <w:szCs w:val="21"/>
          <w:color w:val="auto"/>
        </w:rPr>
      </w:pPr>
    </w:p>
    <w:p>
      <w:pPr>
        <w:jc w:val="both"/>
        <w:ind w:left="960" w:hanging="320"/>
        <w:spacing w:after="0"/>
        <w:tabs>
          <w:tab w:leader="none" w:pos="948"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one or more divisions, groups and business units of the Company (or parts thereof) that the Executive is primarily associated with (or part thereof) are sold, divested, or otherwise disposed of by the Company in connection with or subsequent to a Change in Control, the Company shall require such purchaser or acquiror, as a condition precedent to such purchase or acquisition, to assume, and agree to perform the Company's obligations under this Agreement, in the same manner, and to the same extent that the Company would be required to perform if no such acquisition or purchase had taken place. In such circumstances, the purchaser or acquiror shall be solely responsible for providing any payments or benefits payable under this Agreement to the Executive.</w:t>
      </w:r>
    </w:p>
    <w:p>
      <w:pPr>
        <w:spacing w:after="0" w:line="204" w:lineRule="exact"/>
        <w:rPr>
          <w:rFonts w:ascii="Times New Roman" w:cs="Times New Roman" w:eastAsia="Times New Roman" w:hAnsi="Times New Roman"/>
          <w:sz w:val="21"/>
          <w:szCs w:val="21"/>
          <w:color w:val="auto"/>
        </w:rPr>
      </w:pPr>
    </w:p>
    <w:p>
      <w:pPr>
        <w:jc w:val="both"/>
        <w:ind w:left="320" w:hanging="316"/>
        <w:spacing w:after="0" w:line="242" w:lineRule="auto"/>
        <w:tabs>
          <w:tab w:leader="none" w:pos="3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w:t>
      </w:r>
      <w:r>
        <w:rPr>
          <w:rFonts w:ascii="Times New Roman" w:cs="Times New Roman" w:eastAsia="Times New Roman" w:hAnsi="Times New Roman"/>
          <w:sz w:val="21"/>
          <w:szCs w:val="21"/>
          <w:color w:val="auto"/>
        </w:rPr>
        <w:t xml:space="preserve">. The Company shall pay all reasonable legal fees and related expenses (including the costs of experts, evidence and counsel) incurred by the Executive as they become due as a result of (a) the Executive's termination of employment (including all such fees and expenses, if any, incurred in contesting or disputing any such termination of employment), (b) the Executive seeking to obtain or enforce any right or benefit provided by this Agreement or by any other plan or arrangement maintained by the Company under which the Executive is or may be entitled to receive benefits, or (c) the Executive’s hearing before the Board as contemplated in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of this Agreement; provided, however, that the circumstances set forth in clauses (a) and (b) occurred during or after the Protection Period.</w:t>
      </w:r>
    </w:p>
    <w:p>
      <w:pPr>
        <w:spacing w:after="0" w:line="190" w:lineRule="exact"/>
        <w:rPr>
          <w:rFonts w:ascii="Times New Roman" w:cs="Times New Roman" w:eastAsia="Times New Roman" w:hAnsi="Times New Roman"/>
          <w:sz w:val="21"/>
          <w:szCs w:val="21"/>
          <w:color w:val="auto"/>
        </w:rPr>
      </w:pPr>
    </w:p>
    <w:p>
      <w:pPr>
        <w:jc w:val="both"/>
        <w:ind w:left="320" w:hanging="316"/>
        <w:spacing w:after="0"/>
        <w:tabs>
          <w:tab w:leader="none" w:pos="3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Order of Payment</w:t>
      </w:r>
      <w:r>
        <w:rPr>
          <w:rFonts w:ascii="Times New Roman" w:cs="Times New Roman" w:eastAsia="Times New Roman" w:hAnsi="Times New Roman"/>
          <w:sz w:val="21"/>
          <w:szCs w:val="21"/>
          <w:color w:val="auto"/>
        </w:rPr>
        <w:t>. In the event that the severance and other benefits provided for in this Agreement or otherwise payable to you (a) constitute “parachute payments” within the meaning of Section 280G of the Internal Revenue Code of 1986, as amended (the “</w:t>
      </w:r>
      <w:r>
        <w:rPr>
          <w:rFonts w:ascii="Times New Roman" w:cs="Times New Roman" w:eastAsia="Times New Roman" w:hAnsi="Times New Roman"/>
          <w:sz w:val="21"/>
          <w:szCs w:val="21"/>
          <w:i w:val="1"/>
          <w:iCs w:val="1"/>
          <w:color w:val="auto"/>
        </w:rPr>
        <w:t>Code</w:t>
      </w:r>
      <w:r>
        <w:rPr>
          <w:rFonts w:ascii="Times New Roman" w:cs="Times New Roman" w:eastAsia="Times New Roman" w:hAnsi="Times New Roman"/>
          <w:sz w:val="21"/>
          <w:szCs w:val="21"/>
          <w:color w:val="auto"/>
        </w:rPr>
        <w:t>”) and (b) but for this provision, would be subject to the excise tax imposed by Section 4999 of the Code, then Executive’s severance, vesting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under this Agreement notwithstanding that all or some portion of such severance benefits may be taxable under Section 4999 of the Code. Any reduction shall be made in the following manner: first a pro rata reduction of (i) cash payments subject to Section 409A and the regulations and authoritative guidance promulgated thereunder to the extent applicable (collectively, “</w:t>
      </w: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as deferred compensation and (ii) cash payments not subject to Section 409A, and second a pro rata cancellation of (i) equity-based compensation subject to Section 409A as deferred compensation and (ii) equity-based compensation not subject to Section 409A. Reduction in either cash payments or equity compensation benefits shall be made pro-rata between and among benefits which are subject to Section 409A and benefits which are exempt from Section 409A. The Accountants (as defined below) shall take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9 of 15</w:t>
      </w:r>
    </w:p>
    <w:p>
      <w:pPr>
        <w:sectPr>
          <w:pgSz w:w="11900" w:h="16838" w:orient="portrait"/>
          <w:cols w:equalWidth="0" w:num="1">
            <w:col w:w="10920"/>
          </w:cols>
          <w:pgMar w:left="640" w:top="1384" w:right="339" w:bottom="1440" w:gutter="0" w:footer="0" w:header="0"/>
        </w:sectPr>
      </w:pPr>
    </w:p>
    <w:bookmarkStart w:id="52" w:name="page53"/>
    <w:bookmarkEnd w:id="52"/>
    <w:p>
      <w:pPr>
        <w:jc w:val="both"/>
        <w:ind w:left="320"/>
        <w:spacing w:after="0" w:line="238" w:lineRule="auto"/>
        <w:rPr>
          <w:sz w:val="20"/>
          <w:szCs w:val="20"/>
          <w:color w:val="auto"/>
        </w:rPr>
      </w:pPr>
      <w:r>
        <w:rPr>
          <w:rFonts w:ascii="Times New Roman" w:cs="Times New Roman" w:eastAsia="Times New Roman" w:hAnsi="Times New Roman"/>
          <w:sz w:val="21"/>
          <w:szCs w:val="21"/>
          <w:color w:val="auto"/>
        </w:rPr>
        <w:t>the value of, services provided or to be provided by the Executive (including, without limitation, the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 Unless the Company and you otherwise agree in writing, any determination required under this provision shall be made in writing by the Company’s independent public accountants (the “Accountants”), whose determination shall be conclusive and binding upon you and the Company for all purposes. For purposes of making the calculations required by this provision, the Accountants may make reasonable assumptions and approximations concerning applicable taxes and may rely on reasonable, good faith interpretations concerning the application of Sections 280G and 4999 of the Code. The Company and you shall furnish to the Accountants such information and documents as the Accountants may reasonably request in order to make a determination under this provision. The Company shall bear all costs the Accountants may reasonably incur in connection with any calculations contemplated by this provision.</w:t>
      </w:r>
    </w:p>
    <w:p>
      <w:pPr>
        <w:spacing w:after="0" w:line="211" w:lineRule="exact"/>
        <w:rPr>
          <w:sz w:val="20"/>
          <w:szCs w:val="20"/>
          <w:color w:val="auto"/>
        </w:rPr>
      </w:pPr>
    </w:p>
    <w:p>
      <w:pPr>
        <w:jc w:val="both"/>
        <w:ind w:left="320" w:hanging="316"/>
        <w:spacing w:after="0"/>
        <w:tabs>
          <w:tab w:leader="none" w:pos="3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200" w:lineRule="exact"/>
        <w:rPr>
          <w:rFonts w:ascii="Times New Roman" w:cs="Times New Roman" w:eastAsia="Times New Roman" w:hAnsi="Times New Roman"/>
          <w:sz w:val="21"/>
          <w:szCs w:val="21"/>
          <w:color w:val="auto"/>
        </w:rPr>
      </w:pPr>
    </w:p>
    <w:p>
      <w:pPr>
        <w:spacing w:after="0" w:line="245" w:lineRule="exact"/>
        <w:rPr>
          <w:rFonts w:ascii="Times New Roman" w:cs="Times New Roman" w:eastAsia="Times New Roman" w:hAnsi="Times New Roman"/>
          <w:sz w:val="21"/>
          <w:szCs w:val="21"/>
          <w:color w:val="auto"/>
        </w:rPr>
      </w:pPr>
    </w:p>
    <w:p>
      <w:pPr>
        <w:jc w:val="both"/>
        <w:ind w:left="320" w:hanging="316"/>
        <w:spacing w:after="0" w:line="239" w:lineRule="auto"/>
        <w:tabs>
          <w:tab w:leader="none" w:pos="31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 Nothing in this Agreement shall prevent or limit the Executive’s continuing or future participation in any benefit, bonus, incentive or other plan or program provided by the Company or any of its subsidiaries and for which the Executive may qualify, nor shall anything herein limit or reduce such rights as the Executive may have under any other agreements with the Company or any of its subsidiaries; provided, however, to the extent that the Executive receives benefits under this Agreement, the Executive will not be entitled to severance pay or benefits under any other severance plan, program, policy or arrangement of the Company (including, without limitation, the Campbell Soup Company Executive Severance Pay Plan and the Campbell Soup Company Severance Pay Plan for Salaried Employees). Amounts which are vested benefits or which the Executive is otherwise entitled to receive under any plan, program or arrangement of the Company or any of its subsidiaries shall be payable in accordance with such plan, program or arrangement except as expressly modified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10 of 15</w:t>
      </w:r>
    </w:p>
    <w:p>
      <w:pPr>
        <w:sectPr>
          <w:pgSz w:w="11900" w:h="16838" w:orient="portrait"/>
          <w:cols w:equalWidth="0" w:num="1">
            <w:col w:w="10920"/>
          </w:cols>
          <w:pgMar w:left="640" w:top="1384" w:right="339" w:bottom="1440" w:gutter="0" w:footer="0" w:header="0"/>
        </w:sectPr>
      </w:pPr>
    </w:p>
    <w:bookmarkStart w:id="53" w:name="page54"/>
    <w:bookmarkEnd w:id="53"/>
    <w:p>
      <w:pPr>
        <w:jc w:val="both"/>
        <w:ind w:left="320" w:hanging="316"/>
        <w:spacing w:after="0" w:line="254" w:lineRule="auto"/>
        <w:tabs>
          <w:tab w:leader="none" w:pos="3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Claims</w:t>
      </w:r>
      <w:r>
        <w:rPr>
          <w:rFonts w:ascii="Times New Roman" w:cs="Times New Roman" w:eastAsia="Times New Roman" w:hAnsi="Times New Roman"/>
          <w:sz w:val="21"/>
          <w:szCs w:val="21"/>
          <w:color w:val="auto"/>
        </w:rPr>
        <w: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w:t>
      </w:r>
    </w:p>
    <w:p>
      <w:pPr>
        <w:spacing w:after="0" w:line="187" w:lineRule="exact"/>
        <w:rPr>
          <w:rFonts w:ascii="Times New Roman" w:cs="Times New Roman" w:eastAsia="Times New Roman" w:hAnsi="Times New Roman"/>
          <w:sz w:val="21"/>
          <w:szCs w:val="21"/>
          <w:color w:val="auto"/>
        </w:rPr>
      </w:pPr>
    </w:p>
    <w:p>
      <w:pPr>
        <w:jc w:val="both"/>
        <w:ind w:left="320" w:hanging="316"/>
        <w:spacing w:after="0"/>
        <w:tabs>
          <w:tab w:leader="none" w:pos="3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No provision of this Agreement may be modified, waived, amended or discharged unless such waiver, modification, amendment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200" w:lineRule="exact"/>
        <w:rPr>
          <w:rFonts w:ascii="Times New Roman" w:cs="Times New Roman" w:eastAsia="Times New Roman" w:hAnsi="Times New Roman"/>
          <w:sz w:val="21"/>
          <w:szCs w:val="21"/>
          <w:color w:val="auto"/>
        </w:rPr>
      </w:pPr>
    </w:p>
    <w:p>
      <w:pPr>
        <w:spacing w:after="0" w:line="245" w:lineRule="exact"/>
        <w:rPr>
          <w:rFonts w:ascii="Times New Roman" w:cs="Times New Roman" w:eastAsia="Times New Roman" w:hAnsi="Times New Roman"/>
          <w:sz w:val="21"/>
          <w:szCs w:val="21"/>
          <w:color w:val="auto"/>
        </w:rPr>
      </w:pPr>
    </w:p>
    <w:p>
      <w:pPr>
        <w:ind w:left="320" w:hanging="316"/>
        <w:spacing w:after="0" w:line="272" w:lineRule="auto"/>
        <w:tabs>
          <w:tab w:leader="none" w:pos="3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Status</w:t>
      </w:r>
      <w:r>
        <w:rPr>
          <w:rFonts w:ascii="Times New Roman" w:cs="Times New Roman" w:eastAsia="Times New Roman" w:hAnsi="Times New Roman"/>
          <w:sz w:val="21"/>
          <w:szCs w:val="21"/>
          <w:color w:val="auto"/>
        </w:rPr>
        <w:t>. This Agreement does not constitute a contract of employment or impose on the Company any obligation to retain the Executive, or any obligation on the Executive to remain in the employment of the Company.</w:t>
      </w:r>
    </w:p>
    <w:p>
      <w:pPr>
        <w:spacing w:after="0" w:line="168" w:lineRule="exact"/>
        <w:rPr>
          <w:rFonts w:ascii="Times New Roman" w:cs="Times New Roman" w:eastAsia="Times New Roman" w:hAnsi="Times New Roman"/>
          <w:sz w:val="21"/>
          <w:szCs w:val="21"/>
          <w:color w:val="auto"/>
        </w:rPr>
      </w:pPr>
    </w:p>
    <w:p>
      <w:pPr>
        <w:ind w:left="320" w:hanging="316"/>
        <w:spacing w:after="0"/>
        <w:tabs>
          <w:tab w:leader="none" w:pos="3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left="960" w:hanging="320"/>
        <w:spacing w:after="0"/>
        <w:tabs>
          <w:tab w:leader="none" w:pos="948"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this Agreement shall be interpreted to comply with or be exempt from Section 409A, and all provisions of this Agreement shall be construed in a manner consistent with the requirements for avoiding taxes or penalties under Section 409A. In no event whatsoever will the Company, any of its affiliates or any of their respective directors, officers, agents, attorneys, employees, executives, shareholders, investors, members, managers, trustees, fiduciaries, representatives, principals, accountants, insurers, successors or assigns be liable for any additional tax, interest or penalties that may be imposed on the Executive under Section 409A or any damages for failing to comply with Section 409A.</w:t>
      </w:r>
    </w:p>
    <w:p>
      <w:pPr>
        <w:spacing w:after="0" w:line="204" w:lineRule="exact"/>
        <w:rPr>
          <w:rFonts w:ascii="Times New Roman" w:cs="Times New Roman" w:eastAsia="Times New Roman" w:hAnsi="Times New Roman"/>
          <w:sz w:val="21"/>
          <w:szCs w:val="21"/>
          <w:color w:val="auto"/>
        </w:rPr>
      </w:pPr>
    </w:p>
    <w:p>
      <w:pPr>
        <w:jc w:val="both"/>
        <w:ind w:left="960" w:hanging="320"/>
        <w:spacing w:after="0" w:line="239" w:lineRule="auto"/>
        <w:tabs>
          <w:tab w:leader="none" w:pos="96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Six-Month Delay for Specified Employees</w:t>
      </w:r>
      <w:r>
        <w:rPr>
          <w:rFonts w:ascii="Times New Roman" w:cs="Times New Roman" w:eastAsia="Times New Roman" w:hAnsi="Times New Roman"/>
          <w:sz w:val="21"/>
          <w:szCs w:val="21"/>
          <w:color w:val="auto"/>
        </w:rPr>
        <w:t>. If any payment, compensation or other benefit provided to the Executive in connection with the termination of the Executive’s employment is determined, in whole or in part, to constitute “nonqualified deferred compensation” within the meaning of Section 409A and the Executive is a specified employee as defined in Section 409A(2)(B)(i) of the Code, no part of such payments shall be paid before the day that is six (6) months plus one (1) day after the date of termination or, if earlier, ten business days following the Executive’s death (the “</w:t>
      </w:r>
      <w:r>
        <w:rPr>
          <w:rFonts w:ascii="Times New Roman" w:cs="Times New Roman" w:eastAsia="Times New Roman" w:hAnsi="Times New Roman"/>
          <w:sz w:val="21"/>
          <w:szCs w:val="21"/>
          <w:i w:val="1"/>
          <w:iCs w:val="1"/>
          <w:color w:val="auto"/>
        </w:rPr>
        <w:t>New Payment Date</w:t>
      </w:r>
      <w:r>
        <w:rPr>
          <w:rFonts w:ascii="Times New Roman" w:cs="Times New Roman" w:eastAsia="Times New Roman" w:hAnsi="Times New Roman"/>
          <w:sz w:val="21"/>
          <w:szCs w:val="21"/>
          <w:color w:val="auto"/>
        </w:rPr>
        <w:t>”). The aggregate of any payments that otherwise would have been paid to the Executive during the period between the date of termination and the New Payment Date shall be paid to the Executive in a lump sum on such New Payment Date. Thereafter, any payments that remain outstanding as of the day immediately following the New Payment Date shall be paid without delay over the time period originally scheduled,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11 of 15</w:t>
      </w:r>
    </w:p>
    <w:p>
      <w:pPr>
        <w:sectPr>
          <w:pgSz w:w="11900" w:h="16838" w:orient="portrait"/>
          <w:cols w:equalWidth="0" w:num="1">
            <w:col w:w="10920"/>
          </w:cols>
          <w:pgMar w:left="640" w:top="1384" w:right="339" w:bottom="1440" w:gutter="0" w:footer="0" w:header="0"/>
        </w:sectPr>
      </w:pPr>
    </w:p>
    <w:bookmarkStart w:id="54" w:name="page55"/>
    <w:bookmarkEnd w:id="54"/>
    <w:p>
      <w:pPr>
        <w:jc w:val="both"/>
        <w:ind w:left="960" w:hanging="320"/>
        <w:spacing w:after="0" w:line="244" w:lineRule="auto"/>
        <w:tabs>
          <w:tab w:leader="none" w:pos="94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as Separation from Service</w:t>
      </w:r>
      <w:r>
        <w:rPr>
          <w:rFonts w:ascii="Times New Roman" w:cs="Times New Roman" w:eastAsia="Times New Roman" w:hAnsi="Times New Roman"/>
          <w:sz w:val="21"/>
          <w:szCs w:val="21"/>
          <w:color w:val="auto"/>
        </w:rPr>
        <w:t>. 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within the meaning of Section 409A, and for purposes of any such provision of this Agreement, references to a “resignation,” “termination,” “terminate,” “termination of employment” or like terms shall mean separation from service.</w:t>
      </w:r>
    </w:p>
    <w:p>
      <w:pPr>
        <w:spacing w:after="0" w:line="179" w:lineRule="exact"/>
        <w:rPr>
          <w:rFonts w:ascii="Times New Roman" w:cs="Times New Roman" w:eastAsia="Times New Roman" w:hAnsi="Times New Roman"/>
          <w:sz w:val="21"/>
          <w:szCs w:val="21"/>
          <w:color w:val="auto"/>
        </w:rPr>
      </w:pPr>
    </w:p>
    <w:p>
      <w:pPr>
        <w:jc w:val="both"/>
        <w:ind w:left="960" w:hanging="320"/>
        <w:spacing w:after="0" w:line="243" w:lineRule="auto"/>
        <w:tabs>
          <w:tab w:leader="none" w:pos="96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for Reimbursements, and In-Kind Benefits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All reimbursements for costs and expenses under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w:t>
      </w:r>
    </w:p>
    <w:p>
      <w:pPr>
        <w:spacing w:after="0" w:line="200" w:lineRule="exact"/>
        <w:rPr>
          <w:rFonts w:ascii="Times New Roman" w:cs="Times New Roman" w:eastAsia="Times New Roman" w:hAnsi="Times New Roman"/>
          <w:sz w:val="21"/>
          <w:szCs w:val="21"/>
          <w:color w:val="auto"/>
        </w:rPr>
      </w:pPr>
    </w:p>
    <w:p>
      <w:pPr>
        <w:jc w:val="both"/>
        <w:ind w:left="960" w:hanging="320"/>
        <w:spacing w:after="0" w:line="248" w:lineRule="auto"/>
        <w:tabs>
          <w:tab w:leader="none" w:pos="94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Within Specified Number of Days</w:t>
      </w:r>
      <w:r>
        <w:rPr>
          <w:rFonts w:ascii="Times New Roman" w:cs="Times New Roman" w:eastAsia="Times New Roman" w:hAnsi="Times New Roman"/>
          <w:sz w:val="21"/>
          <w:szCs w:val="21"/>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81" w:lineRule="exact"/>
        <w:rPr>
          <w:rFonts w:ascii="Times New Roman" w:cs="Times New Roman" w:eastAsia="Times New Roman" w:hAnsi="Times New Roman"/>
          <w:sz w:val="21"/>
          <w:szCs w:val="21"/>
          <w:color w:val="auto"/>
        </w:rPr>
      </w:pPr>
    </w:p>
    <w:p>
      <w:pPr>
        <w:ind w:left="960" w:hanging="320"/>
        <w:spacing w:after="0" w:line="272" w:lineRule="auto"/>
        <w:tabs>
          <w:tab w:leader="none" w:pos="951"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Installments as Separate Payment</w:t>
      </w:r>
      <w:r>
        <w:rPr>
          <w:rFonts w:ascii="Times New Roman" w:cs="Times New Roman" w:eastAsia="Times New Roman" w:hAnsi="Times New Roman"/>
          <w:sz w:val="21"/>
          <w:szCs w:val="21"/>
          <w:color w:val="auto"/>
        </w:rPr>
        <w:t>. For purposes of Section 409A, the Executive’s right to receive any installment payments pursuant to this Agreement shall be treated as a right to receive a series of separate and distinct payments.</w:t>
      </w:r>
    </w:p>
    <w:p>
      <w:pPr>
        <w:spacing w:after="0" w:line="168" w:lineRule="exact"/>
        <w:rPr>
          <w:rFonts w:ascii="Times New Roman" w:cs="Times New Roman" w:eastAsia="Times New Roman" w:hAnsi="Times New Roman"/>
          <w:sz w:val="21"/>
          <w:szCs w:val="21"/>
          <w:color w:val="auto"/>
        </w:rPr>
      </w:pPr>
    </w:p>
    <w:p>
      <w:pPr>
        <w:jc w:val="both"/>
        <w:ind w:left="320" w:hanging="316"/>
        <w:spacing w:after="0" w:line="245" w:lineRule="auto"/>
        <w:tabs>
          <w:tab w:leader="none" w:pos="3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and enforced in accordance with the laws of the State of New Jersey, without reference to the principles of conflicts of laws. Each party hereto consents to in personam jurisdiction and venue in the United States District Court of New Jersey. In the event that the United States District Court of New Jersey should lack subject matter jurisdiction, the parties consent to jurisdiction and venue in a court of competent jurisdiction in Camden County in the State of New Jersey.</w:t>
      </w:r>
    </w:p>
    <w:p>
      <w:pPr>
        <w:spacing w:after="0" w:line="198" w:lineRule="exact"/>
        <w:rPr>
          <w:rFonts w:ascii="Times New Roman" w:cs="Times New Roman" w:eastAsia="Times New Roman" w:hAnsi="Times New Roman"/>
          <w:sz w:val="21"/>
          <w:szCs w:val="21"/>
          <w:color w:val="auto"/>
        </w:rPr>
      </w:pPr>
    </w:p>
    <w:p>
      <w:pPr>
        <w:ind w:left="320" w:hanging="316"/>
        <w:spacing w:after="0" w:line="272" w:lineRule="auto"/>
        <w:tabs>
          <w:tab w:leader="none" w:pos="3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may withhold from all payments due to Executive (or the Executive’s beneficiary or estate) under this Agreement all applicable federal, state, local and foreign income and employment taxes.</w:t>
      </w:r>
    </w:p>
    <w:p>
      <w:pPr>
        <w:spacing w:after="0" w:line="168" w:lineRule="exact"/>
        <w:rPr>
          <w:rFonts w:ascii="Times New Roman" w:cs="Times New Roman" w:eastAsia="Times New Roman" w:hAnsi="Times New Roman"/>
          <w:sz w:val="21"/>
          <w:szCs w:val="21"/>
          <w:color w:val="auto"/>
        </w:rPr>
      </w:pPr>
    </w:p>
    <w:p>
      <w:pPr>
        <w:ind w:left="320" w:hanging="316"/>
        <w:spacing w:after="0" w:line="259" w:lineRule="auto"/>
        <w:tabs>
          <w:tab w:leader="none" w:pos="3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deemed severable and the invalidity or unenforceability of any provision shall not affect the validity or enforceability of the other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12 of 15</w:t>
      </w:r>
    </w:p>
    <w:p>
      <w:pPr>
        <w:sectPr>
          <w:pgSz w:w="11900" w:h="16838" w:orient="portrait"/>
          <w:cols w:equalWidth="0" w:num="1">
            <w:col w:w="10920"/>
          </w:cols>
          <w:pgMar w:left="640" w:top="1384" w:right="339" w:bottom="1440" w:gutter="0" w:footer="0" w:header="0"/>
        </w:sectPr>
      </w:pPr>
    </w:p>
    <w:bookmarkStart w:id="55" w:name="page56"/>
    <w:bookmarkEnd w:id="55"/>
    <w:p>
      <w:pPr>
        <w:ind w:left="640" w:hanging="316"/>
        <w:spacing w:after="0" w:line="272" w:lineRule="auto"/>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several counterparts, each of which shall be deemed to be an original but all of which together will constitute one and the same instrument.</w:t>
      </w:r>
    </w:p>
    <w:p>
      <w:pPr>
        <w:spacing w:after="0" w:line="168" w:lineRule="exact"/>
        <w:rPr>
          <w:rFonts w:ascii="Times New Roman" w:cs="Times New Roman" w:eastAsia="Times New Roman" w:hAnsi="Times New Roman"/>
          <w:sz w:val="21"/>
          <w:szCs w:val="21"/>
          <w:color w:val="auto"/>
        </w:rPr>
      </w:pPr>
    </w:p>
    <w:p>
      <w:pPr>
        <w:ind w:left="640" w:hanging="316"/>
        <w:spacing w:after="0" w:line="272" w:lineRule="auto"/>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contained in this Agreement are intended solely for convenience and shall not control or affect the meaning or construction of the provisions of this Agreement.</w:t>
      </w:r>
    </w:p>
    <w:p>
      <w:pPr>
        <w:spacing w:after="0" w:line="168" w:lineRule="exact"/>
        <w:rPr>
          <w:rFonts w:ascii="Times New Roman" w:cs="Times New Roman" w:eastAsia="Times New Roman" w:hAnsi="Times New Roman"/>
          <w:sz w:val="21"/>
          <w:szCs w:val="21"/>
          <w:color w:val="auto"/>
        </w:rPr>
      </w:pPr>
    </w:p>
    <w:p>
      <w:pPr>
        <w:jc w:val="both"/>
        <w:ind w:left="640" w:hanging="316"/>
        <w:spacing w:after="0" w:line="244" w:lineRule="auto"/>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between the parties hereto with respect to the subject matter hereof and supersedes all understandings and arrangements, whether oral or written, between the parties hereto with respect to such subject matter, including the Change in Control Severance Protection Agreement by and between the Company and the Executive dated as of [______].</w:t>
      </w:r>
    </w:p>
    <w:p>
      <w:pPr>
        <w:spacing w:after="0" w:line="197" w:lineRule="exact"/>
        <w:rPr>
          <w:sz w:val="20"/>
          <w:szCs w:val="20"/>
          <w:color w:val="auto"/>
        </w:rPr>
      </w:pPr>
    </w:p>
    <w:p>
      <w:pPr>
        <w:ind w:firstLine="1272"/>
        <w:spacing w:after="0" w:line="272" w:lineRule="auto"/>
        <w:rPr>
          <w:sz w:val="20"/>
          <w:szCs w:val="20"/>
          <w:color w:val="auto"/>
        </w:rPr>
      </w:pPr>
      <w:r>
        <w:rPr>
          <w:rFonts w:ascii="Times New Roman" w:cs="Times New Roman" w:eastAsia="Times New Roman" w:hAnsi="Times New Roman"/>
          <w:sz w:val="21"/>
          <w:szCs w:val="21"/>
          <w:color w:val="auto"/>
        </w:rPr>
        <w:t>IN WITNESS WHEREOF, the Company has caused this Agreement to be executed by its duly authorized officer and the Executive has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CAMPBELL SOUP COMPANY</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______________________</w:t>
      </w:r>
    </w:p>
    <w:p>
      <w:pPr>
        <w:ind w:left="1280"/>
        <w:spacing w:after="0" w:line="237" w:lineRule="auto"/>
        <w:rPr>
          <w:sz w:val="20"/>
          <w:szCs w:val="20"/>
          <w:color w:val="auto"/>
        </w:rPr>
      </w:pPr>
      <w:r>
        <w:rPr>
          <w:rFonts w:ascii="Times New Roman" w:cs="Times New Roman" w:eastAsia="Times New Roman" w:hAnsi="Times New Roman"/>
          <w:sz w:val="21"/>
          <w:szCs w:val="21"/>
          <w:color w:val="auto"/>
        </w:rPr>
        <w:t>By:</w:t>
      </w:r>
    </w:p>
    <w:p>
      <w:pPr>
        <w:ind w:left="12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_________________________</w:t>
      </w:r>
    </w:p>
    <w:p>
      <w:pPr>
        <w:ind w:left="1280"/>
        <w:spacing w:after="0"/>
        <w:rPr>
          <w:sz w:val="20"/>
          <w:szCs w:val="20"/>
          <w:color w:val="auto"/>
        </w:rPr>
      </w:pPr>
      <w:r>
        <w:rPr>
          <w:rFonts w:ascii="Times New Roman" w:cs="Times New Roman" w:eastAsia="Times New Roman" w:hAnsi="Times New Roman"/>
          <w:sz w:val="21"/>
          <w:szCs w:val="2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4"/>
          <w:szCs w:val="14"/>
          <w:color w:val="auto"/>
        </w:rPr>
        <w:t>Page 13 of 15</w:t>
      </w:r>
    </w:p>
    <w:p>
      <w:pPr>
        <w:sectPr>
          <w:pgSz w:w="11900" w:h="16838" w:orient="portrait"/>
          <w:cols w:equalWidth="0" w:num="1">
            <w:col w:w="11240"/>
          </w:cols>
          <w:pgMar w:left="320" w:top="1384" w:right="339" w:bottom="1440" w:gutter="0" w:footer="0" w:header="0"/>
        </w:sectPr>
      </w:pPr>
    </w:p>
    <w:bookmarkStart w:id="56" w:name="page57"/>
    <w:bookmarkEnd w:id="56"/>
    <w:p>
      <w:pPr>
        <w:jc w:val="center"/>
        <w:ind w:right="-319"/>
        <w:spacing w:after="0"/>
        <w:rPr>
          <w:sz w:val="20"/>
          <w:szCs w:val="20"/>
          <w:color w:val="auto"/>
        </w:rPr>
      </w:pPr>
      <w:r>
        <w:rPr>
          <w:rFonts w:ascii="Times New Roman" w:cs="Times New Roman" w:eastAsia="Times New Roman" w:hAnsi="Times New Roman"/>
          <w:sz w:val="21"/>
          <w:szCs w:val="21"/>
          <w:u w:val="single" w:color="auto"/>
          <w:color w:val="auto"/>
        </w:rPr>
        <w:t>Schedule A to Severance Protection Agreement</w:t>
      </w:r>
    </w:p>
    <w:p>
      <w:pPr>
        <w:spacing w:after="0" w:line="236" w:lineRule="exact"/>
        <w:rPr>
          <w:sz w:val="20"/>
          <w:szCs w:val="20"/>
          <w:color w:val="auto"/>
        </w:rPr>
      </w:pPr>
    </w:p>
    <w:p>
      <w:pPr>
        <w:jc w:val="both"/>
        <w:ind w:left="320" w:hanging="316"/>
        <w:spacing w:after="0" w:line="245" w:lineRule="auto"/>
        <w:tabs>
          <w:tab w:leader="none" w:pos="32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Executive’s Severance Amount provided for in </w:t>
      </w:r>
      <w:r>
        <w:rPr>
          <w:rFonts w:ascii="Times New Roman" w:cs="Times New Roman" w:eastAsia="Times New Roman" w:hAnsi="Times New Roman"/>
          <w:sz w:val="21"/>
          <w:szCs w:val="21"/>
          <w:u w:val="single" w:color="auto"/>
          <w:color w:val="auto"/>
        </w:rPr>
        <w:t>Section 3(b)(ii)</w:t>
      </w:r>
      <w:r>
        <w:rPr>
          <w:rFonts w:ascii="Times New Roman" w:cs="Times New Roman" w:eastAsia="Times New Roman" w:hAnsi="Times New Roman"/>
          <w:sz w:val="21"/>
          <w:szCs w:val="21"/>
          <w:color w:val="auto"/>
        </w:rPr>
        <w:t xml:space="preserve"> shall equal the severance pay multiple set forth below next to the Executive’s salary level at the Termination Date multiplied by the sum of: (A) the greater of (as applicable) (1) the Executive’s annual base salary in effect at any time during the 90-day period immediately prior to the Change in Control (or Termination Date for a Pre CIC Termination) or (2) the Executive’s annual base salary in effect at any time following the Change in Control, and (B) the Bonus Amount.</w:t>
      </w:r>
    </w:p>
    <w:p>
      <w:pPr>
        <w:spacing w:after="0" w:line="223"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4420" w:type="dxa"/>
            <w:vAlign w:val="bottom"/>
            <w:gridSpan w:val="2"/>
          </w:tcPr>
          <w:p>
            <w:pPr>
              <w:jc w:val="center"/>
              <w:ind w:right="1600"/>
              <w:spacing w:after="0"/>
              <w:rPr>
                <w:sz w:val="20"/>
                <w:szCs w:val="20"/>
                <w:color w:val="auto"/>
              </w:rPr>
            </w:pPr>
            <w:r>
              <w:rPr>
                <w:rFonts w:ascii="Times New Roman" w:cs="Times New Roman" w:eastAsia="Times New Roman" w:hAnsi="Times New Roman"/>
                <w:sz w:val="21"/>
                <w:szCs w:val="21"/>
                <w:color w:val="auto"/>
              </w:rPr>
              <w:t>Salary Level at Termination Date</w:t>
            </w:r>
          </w:p>
        </w:tc>
        <w:tc>
          <w:tcPr>
            <w:tcW w:w="3620" w:type="dxa"/>
            <w:vAlign w:val="bottom"/>
            <w:gridSpan w:val="2"/>
          </w:tcPr>
          <w:p>
            <w:pPr>
              <w:ind w:left="1600"/>
              <w:spacing w:after="0"/>
              <w:rPr>
                <w:sz w:val="20"/>
                <w:szCs w:val="20"/>
                <w:color w:val="auto"/>
              </w:rPr>
            </w:pPr>
            <w:r>
              <w:rPr>
                <w:rFonts w:ascii="Times New Roman" w:cs="Times New Roman" w:eastAsia="Times New Roman" w:hAnsi="Times New Roman"/>
                <w:sz w:val="21"/>
                <w:szCs w:val="21"/>
                <w:color w:val="auto"/>
                <w:w w:val="99"/>
              </w:rPr>
              <w:t>Severance Pay Multiple</w:t>
            </w:r>
          </w:p>
        </w:tc>
      </w:tr>
      <w:tr>
        <w:trPr>
          <w:trHeight w:val="322"/>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B</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21"/>
                <w:szCs w:val="21"/>
                <w:color w:val="auto"/>
              </w:rPr>
              <w:t>2</w:t>
            </w:r>
          </w:p>
        </w:tc>
      </w:tr>
      <w:tr>
        <w:trPr>
          <w:trHeight w:val="292"/>
        </w:trPr>
        <w:tc>
          <w:tcPr>
            <w:tcW w:w="4420" w:type="dxa"/>
            <w:vAlign w:val="bottom"/>
            <w:gridSpan w:val="2"/>
          </w:tcPr>
          <w:p>
            <w:pPr>
              <w:jc w:val="center"/>
              <w:ind w:right="1580"/>
              <w:spacing w:after="0"/>
              <w:rPr>
                <w:sz w:val="20"/>
                <w:szCs w:val="20"/>
                <w:color w:val="auto"/>
              </w:rPr>
            </w:pPr>
            <w:r>
              <w:rPr>
                <w:rFonts w:ascii="Times New Roman" w:cs="Times New Roman" w:eastAsia="Times New Roman" w:hAnsi="Times New Roman"/>
                <w:sz w:val="21"/>
                <w:szCs w:val="21"/>
                <w:color w:val="auto"/>
              </w:rPr>
              <w:t>A</w:t>
            </w:r>
          </w:p>
        </w:tc>
        <w:tc>
          <w:tcPr>
            <w:tcW w:w="3620" w:type="dxa"/>
            <w:vAlign w:val="bottom"/>
            <w:gridSpan w:val="2"/>
          </w:tcPr>
          <w:p>
            <w:pPr>
              <w:jc w:val="right"/>
              <w:ind w:right="774"/>
              <w:spacing w:after="0"/>
              <w:rPr>
                <w:sz w:val="20"/>
                <w:szCs w:val="20"/>
                <w:color w:val="auto"/>
              </w:rPr>
            </w:pPr>
            <w:r>
              <w:rPr>
                <w:rFonts w:ascii="Times New Roman" w:cs="Times New Roman" w:eastAsia="Times New Roman" w:hAnsi="Times New Roman"/>
                <w:sz w:val="21"/>
                <w:szCs w:val="21"/>
                <w:color w:val="auto"/>
              </w:rPr>
              <w:t>2.5</w:t>
            </w:r>
          </w:p>
        </w:tc>
      </w:tr>
    </w:tbl>
    <w:p>
      <w:pPr>
        <w:spacing w:after="0" w:line="319" w:lineRule="exact"/>
        <w:rPr>
          <w:sz w:val="20"/>
          <w:szCs w:val="20"/>
          <w:color w:val="auto"/>
        </w:rPr>
      </w:pPr>
    </w:p>
    <w:p>
      <w:pPr>
        <w:ind w:left="320" w:hanging="316"/>
        <w:spacing w:after="0" w:line="272" w:lineRule="auto"/>
        <w:tabs>
          <w:tab w:leader="none" w:pos="3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Benefits Continuation Period provided for in </w:t>
      </w:r>
      <w:r>
        <w:rPr>
          <w:rFonts w:ascii="Times New Roman" w:cs="Times New Roman" w:eastAsia="Times New Roman" w:hAnsi="Times New Roman"/>
          <w:sz w:val="21"/>
          <w:szCs w:val="21"/>
          <w:u w:val="single" w:color="auto"/>
          <w:color w:val="auto"/>
        </w:rPr>
        <w:t>Section 3(b)(iii)</w:t>
      </w:r>
      <w:r>
        <w:rPr>
          <w:rFonts w:ascii="Times New Roman" w:cs="Times New Roman" w:eastAsia="Times New Roman" w:hAnsi="Times New Roman"/>
          <w:sz w:val="21"/>
          <w:szCs w:val="21"/>
          <w:color w:val="auto"/>
        </w:rPr>
        <w:t xml:space="preserve"> shall be determined using the number of months set forth below next to the Executive’s salary level at the Termination Date.</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4320" w:type="dxa"/>
            <w:vAlign w:val="bottom"/>
            <w:gridSpan w:val="2"/>
          </w:tcPr>
          <w:p>
            <w:pPr>
              <w:jc w:val="center"/>
              <w:ind w:right="1500"/>
              <w:spacing w:after="0"/>
              <w:rPr>
                <w:sz w:val="20"/>
                <w:szCs w:val="20"/>
                <w:color w:val="auto"/>
              </w:rPr>
            </w:pPr>
            <w:r>
              <w:rPr>
                <w:rFonts w:ascii="Times New Roman" w:cs="Times New Roman" w:eastAsia="Times New Roman" w:hAnsi="Times New Roman"/>
                <w:sz w:val="21"/>
                <w:szCs w:val="21"/>
                <w:color w:val="auto"/>
              </w:rPr>
              <w:t>Salary Level at Termination Date</w:t>
            </w:r>
          </w:p>
        </w:tc>
        <w:tc>
          <w:tcPr>
            <w:tcW w:w="3940" w:type="dxa"/>
            <w:vAlign w:val="bottom"/>
            <w:gridSpan w:val="2"/>
          </w:tcPr>
          <w:p>
            <w:pPr>
              <w:jc w:val="center"/>
              <w:ind w:left="1374"/>
              <w:spacing w:after="0"/>
              <w:rPr>
                <w:sz w:val="20"/>
                <w:szCs w:val="20"/>
                <w:color w:val="auto"/>
              </w:rPr>
            </w:pPr>
            <w:r>
              <w:rPr>
                <w:rFonts w:ascii="Times New Roman" w:cs="Times New Roman" w:eastAsia="Times New Roman" w:hAnsi="Times New Roman"/>
                <w:sz w:val="21"/>
                <w:szCs w:val="21"/>
                <w:color w:val="auto"/>
              </w:rPr>
              <w:t>Benefits Continuation Period</w:t>
            </w:r>
          </w:p>
        </w:tc>
      </w:tr>
      <w:tr>
        <w:trPr>
          <w:trHeight w:val="322"/>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B</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24 months</w:t>
            </w:r>
          </w:p>
        </w:tc>
      </w:tr>
      <w:tr>
        <w:trPr>
          <w:trHeight w:val="292"/>
        </w:trPr>
        <w:tc>
          <w:tcPr>
            <w:tcW w:w="4320" w:type="dxa"/>
            <w:vAlign w:val="bottom"/>
            <w:gridSpan w:val="2"/>
          </w:tcPr>
          <w:p>
            <w:pPr>
              <w:jc w:val="center"/>
              <w:ind w:right="1480"/>
              <w:spacing w:after="0"/>
              <w:rPr>
                <w:sz w:val="20"/>
                <w:szCs w:val="20"/>
                <w:color w:val="auto"/>
              </w:rPr>
            </w:pPr>
            <w:r>
              <w:rPr>
                <w:rFonts w:ascii="Times New Roman" w:cs="Times New Roman" w:eastAsia="Times New Roman" w:hAnsi="Times New Roman"/>
                <w:sz w:val="21"/>
                <w:szCs w:val="21"/>
                <w:color w:val="auto"/>
              </w:rPr>
              <w:t>A</w:t>
            </w:r>
          </w:p>
        </w:tc>
        <w:tc>
          <w:tcPr>
            <w:tcW w:w="148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30 months</w:t>
            </w:r>
          </w:p>
        </w:tc>
      </w:tr>
    </w:tbl>
    <w:p>
      <w:pPr>
        <w:spacing w:after="0" w:line="319" w:lineRule="exact"/>
        <w:rPr>
          <w:sz w:val="20"/>
          <w:szCs w:val="20"/>
          <w:color w:val="auto"/>
        </w:rPr>
      </w:pPr>
    </w:p>
    <w:p>
      <w:pPr>
        <w:ind w:left="320" w:hanging="316"/>
        <w:spacing w:after="0" w:line="259" w:lineRule="auto"/>
        <w:tabs>
          <w:tab w:leader="none" w:pos="32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additional service credit provided for in </w:t>
      </w:r>
      <w:r>
        <w:rPr>
          <w:rFonts w:ascii="Times New Roman" w:cs="Times New Roman" w:eastAsia="Times New Roman" w:hAnsi="Times New Roman"/>
          <w:sz w:val="21"/>
          <w:szCs w:val="21"/>
          <w:u w:val="single" w:color="auto"/>
          <w:color w:val="auto"/>
        </w:rPr>
        <w:t>Section 3(b)(iv)(w)</w:t>
      </w:r>
      <w:r>
        <w:rPr>
          <w:rFonts w:ascii="Times New Roman" w:cs="Times New Roman" w:eastAsia="Times New Roman" w:hAnsi="Times New Roman"/>
          <w:sz w:val="21"/>
          <w:szCs w:val="21"/>
          <w:color w:val="auto"/>
        </w:rPr>
        <w:t xml:space="preserve"> shall be equal to the number of months set forth below next to the Executive’s salary level at the Termination Date.</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4380" w:type="dxa"/>
            <w:vAlign w:val="bottom"/>
            <w:gridSpan w:val="2"/>
          </w:tcPr>
          <w:p>
            <w:pPr>
              <w:jc w:val="center"/>
              <w:ind w:right="1560"/>
              <w:spacing w:after="0"/>
              <w:rPr>
                <w:sz w:val="20"/>
                <w:szCs w:val="20"/>
                <w:color w:val="auto"/>
              </w:rPr>
            </w:pPr>
            <w:r>
              <w:rPr>
                <w:rFonts w:ascii="Times New Roman" w:cs="Times New Roman" w:eastAsia="Times New Roman" w:hAnsi="Times New Roman"/>
                <w:sz w:val="21"/>
                <w:szCs w:val="21"/>
                <w:color w:val="auto"/>
              </w:rPr>
              <w:t>Salary Level at Termination Date</w:t>
            </w:r>
          </w:p>
        </w:tc>
        <w:tc>
          <w:tcPr>
            <w:tcW w:w="3740" w:type="dxa"/>
            <w:vAlign w:val="bottom"/>
            <w:gridSpan w:val="2"/>
          </w:tcPr>
          <w:p>
            <w:pPr>
              <w:jc w:val="center"/>
              <w:ind w:left="1454"/>
              <w:spacing w:after="0"/>
              <w:rPr>
                <w:sz w:val="20"/>
                <w:szCs w:val="20"/>
                <w:color w:val="auto"/>
              </w:rPr>
            </w:pPr>
            <w:r>
              <w:rPr>
                <w:rFonts w:ascii="Times New Roman" w:cs="Times New Roman" w:eastAsia="Times New Roman" w:hAnsi="Times New Roman"/>
                <w:sz w:val="21"/>
                <w:szCs w:val="21"/>
                <w:color w:val="auto"/>
              </w:rPr>
              <w:t>Additional Service Credit</w:t>
            </w:r>
          </w:p>
        </w:tc>
      </w:tr>
      <w:tr>
        <w:trPr>
          <w:trHeight w:val="322"/>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B</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24 months</w:t>
            </w:r>
          </w:p>
        </w:tc>
      </w:tr>
      <w:tr>
        <w:trPr>
          <w:trHeight w:val="292"/>
        </w:trPr>
        <w:tc>
          <w:tcPr>
            <w:tcW w:w="4380" w:type="dxa"/>
            <w:vAlign w:val="bottom"/>
            <w:gridSpan w:val="2"/>
          </w:tcPr>
          <w:p>
            <w:pPr>
              <w:jc w:val="center"/>
              <w:ind w:right="1540"/>
              <w:spacing w:after="0"/>
              <w:rPr>
                <w:sz w:val="20"/>
                <w:szCs w:val="20"/>
                <w:color w:val="auto"/>
              </w:rPr>
            </w:pPr>
            <w:r>
              <w:rPr>
                <w:rFonts w:ascii="Times New Roman" w:cs="Times New Roman" w:eastAsia="Times New Roman" w:hAnsi="Times New Roman"/>
                <w:sz w:val="21"/>
                <w:szCs w:val="21"/>
                <w:color w:val="auto"/>
              </w:rPr>
              <w:t>A</w:t>
            </w:r>
          </w:p>
        </w:tc>
        <w:tc>
          <w:tcPr>
            <w:tcW w:w="15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30 months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14 of 15</w:t>
      </w:r>
    </w:p>
    <w:p>
      <w:pPr>
        <w:sectPr>
          <w:pgSz w:w="11900" w:h="16838" w:orient="portrait"/>
          <w:cols w:equalWidth="0" w:num="1">
            <w:col w:w="10920"/>
          </w:cols>
          <w:pgMar w:left="640" w:top="138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1"/>
          <w:szCs w:val="21"/>
          <w:u w:val="single" w:color="auto"/>
          <w:color w:val="auto"/>
        </w:rPr>
        <w:t>Schedule B</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Treatment of Equity Awards in Connection with Pre CIC Termination</w:t>
      </w:r>
    </w:p>
    <w:p>
      <w:pPr>
        <w:spacing w:after="0" w:line="19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Upon the occurrence of a Pre CIC Termination (during the Protection Period) (1) by the Company without Cause (excluding by reason of Executive’s death or Disability) or (2) by the Executive for Good Reason, then:</w:t>
      </w:r>
    </w:p>
    <w:p>
      <w:pPr>
        <w:spacing w:after="0" w:line="181" w:lineRule="exact"/>
        <w:rPr>
          <w:sz w:val="20"/>
          <w:szCs w:val="20"/>
          <w:color w:val="auto"/>
        </w:rPr>
      </w:pPr>
    </w:p>
    <w:p>
      <w:pPr>
        <w:jc w:val="both"/>
        <w:ind w:firstLine="6"/>
        <w:spacing w:after="0" w:line="242" w:lineRule="auto"/>
        <w:tabs>
          <w:tab w:leader="none" w:pos="25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Equity Awards are subject to time-based vesting (the “</w:t>
      </w:r>
      <w:r>
        <w:rPr>
          <w:rFonts w:ascii="Times New Roman" w:cs="Times New Roman" w:eastAsia="Times New Roman" w:hAnsi="Times New Roman"/>
          <w:sz w:val="21"/>
          <w:szCs w:val="21"/>
          <w:i w:val="1"/>
          <w:iCs w:val="1"/>
          <w:color w:val="auto"/>
        </w:rPr>
        <w:t>Time Awards</w:t>
      </w:r>
      <w:r>
        <w:rPr>
          <w:rFonts w:ascii="Times New Roman" w:cs="Times New Roman" w:eastAsia="Times New Roman" w:hAnsi="Times New Roman"/>
          <w:sz w:val="21"/>
          <w:szCs w:val="21"/>
          <w:color w:val="auto"/>
        </w:rPr>
        <w:t>”) and remain outstanding and unvested as of immediately prior to the Change in Control, such Time Awards shall vest in full and be settled pursuant to the terms of the Equity Plan and the award agreement governing such Time Awards;</w:t>
      </w:r>
    </w:p>
    <w:p>
      <w:pPr>
        <w:spacing w:after="0" w:line="185" w:lineRule="exact"/>
        <w:rPr>
          <w:rFonts w:ascii="Times New Roman" w:cs="Times New Roman" w:eastAsia="Times New Roman" w:hAnsi="Times New Roman"/>
          <w:sz w:val="21"/>
          <w:szCs w:val="21"/>
          <w:color w:val="auto"/>
        </w:rPr>
      </w:pPr>
    </w:p>
    <w:p>
      <w:pPr>
        <w:jc w:val="both"/>
        <w:ind w:firstLine="6"/>
        <w:spacing w:after="0" w:line="227" w:lineRule="auto"/>
        <w:tabs>
          <w:tab w:leader="none" w:pos="35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Equity Awards are Time Awards that were forfeited upon or following the Executive’s Pre CIC Termination, but prior to the Change in Control, the Executive shall receive a cash payment in respect of such forfeited Time Awards equal to the product of (w) the volume weighted average price per share of the Company’s common stock over the 20 trading days immediately preceding the Executive’s date of termination (“</w:t>
      </w:r>
      <w:r>
        <w:rPr>
          <w:rFonts w:ascii="Times New Roman" w:cs="Times New Roman" w:eastAsia="Times New Roman" w:hAnsi="Times New Roman"/>
          <w:sz w:val="21"/>
          <w:szCs w:val="21"/>
          <w:i w:val="1"/>
          <w:iCs w:val="1"/>
          <w:color w:val="auto"/>
        </w:rPr>
        <w:t>20 Day VWAP</w:t>
      </w:r>
      <w:r>
        <w:rPr>
          <w:rFonts w:ascii="Times New Roman" w:cs="Times New Roman" w:eastAsia="Times New Roman" w:hAnsi="Times New Roman"/>
          <w:sz w:val="21"/>
          <w:szCs w:val="21"/>
          <w:color w:val="auto"/>
        </w:rPr>
        <w:t>”) and (x) the number of restricted stock units subject to the Time Award that were forfeited upon such Pre CIC Termination, payable at the same time that the forfeited Time Awards would have been settled pursuant to the terms of the applicable award agreement if the Executive had not experienced a termination of employment;</w:t>
      </w:r>
    </w:p>
    <w:p>
      <w:pPr>
        <w:spacing w:after="0" w:line="187" w:lineRule="exact"/>
        <w:rPr>
          <w:rFonts w:ascii="Times New Roman" w:cs="Times New Roman" w:eastAsia="Times New Roman" w:hAnsi="Times New Roman"/>
          <w:sz w:val="21"/>
          <w:szCs w:val="21"/>
          <w:color w:val="auto"/>
        </w:rPr>
      </w:pPr>
    </w:p>
    <w:p>
      <w:pPr>
        <w:jc w:val="both"/>
        <w:ind w:firstLine="6"/>
        <w:spacing w:after="0" w:line="231" w:lineRule="auto"/>
        <w:tabs>
          <w:tab w:leader="none" w:pos="41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Equity Awards are subject to performance-based vesting (the “</w:t>
      </w:r>
      <w:r>
        <w:rPr>
          <w:rFonts w:ascii="Times New Roman" w:cs="Times New Roman" w:eastAsia="Times New Roman" w:hAnsi="Times New Roman"/>
          <w:sz w:val="21"/>
          <w:szCs w:val="21"/>
          <w:i w:val="1"/>
          <w:iCs w:val="1"/>
          <w:color w:val="auto"/>
        </w:rPr>
        <w:t>Performance Awards</w:t>
      </w:r>
      <w:r>
        <w:rPr>
          <w:rFonts w:ascii="Times New Roman" w:cs="Times New Roman" w:eastAsia="Times New Roman" w:hAnsi="Times New Roman"/>
          <w:sz w:val="21"/>
          <w:szCs w:val="21"/>
          <w:color w:val="auto"/>
        </w:rPr>
        <w:t>”) and remain outstanding and unvested as of immediately prior to the Change in Control, such Performance Awards shall vest assuming that any performance conditions are deemed achieved at the greater of target and actual performance, as determined by the Committee (as defined in the Equity Plan), and be settled pursuant to the terms of the Equity Plan and the award agreement governing such Performance Awards; and</w:t>
      </w:r>
    </w:p>
    <w:p>
      <w:pPr>
        <w:spacing w:after="0" w:line="191" w:lineRule="exact"/>
        <w:rPr>
          <w:rFonts w:ascii="Times New Roman" w:cs="Times New Roman" w:eastAsia="Times New Roman" w:hAnsi="Times New Roman"/>
          <w:sz w:val="21"/>
          <w:szCs w:val="21"/>
          <w:color w:val="auto"/>
        </w:rPr>
      </w:pPr>
    </w:p>
    <w:p>
      <w:pPr>
        <w:jc w:val="both"/>
        <w:ind w:firstLine="6"/>
        <w:spacing w:after="0" w:line="236" w:lineRule="auto"/>
        <w:tabs>
          <w:tab w:leader="none" w:pos="37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Equity Awards are Performance Awards that were forfeited upon or following the Executive’s Pre CIC Termination, but prior to the Change in Control, the Executive shall receive a cash payment in respect of such forfeited Performance Awards equal to:</w:t>
      </w:r>
    </w:p>
    <w:p>
      <w:pPr>
        <w:jc w:val="both"/>
        <w:ind w:firstLine="1755"/>
        <w:spacing w:after="0" w:line="237" w:lineRule="auto"/>
        <w:tabs>
          <w:tab w:leader="none" w:pos="2051"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such Performance Awards for which the performance cycle ended prior to the Change in Control, the amount Executive would have received in respect of such awards assuming that (I) any performance conditions are deemed achieved at actual performance, as determined by the Committee and (II) the value of each unit underlying such Performance Awards is equal to the 20 Day VWAP; and</w:t>
      </w:r>
    </w:p>
    <w:p>
      <w:pPr>
        <w:spacing w:after="0" w:line="201" w:lineRule="exact"/>
        <w:rPr>
          <w:rFonts w:ascii="Times New Roman" w:cs="Times New Roman" w:eastAsia="Times New Roman" w:hAnsi="Times New Roman"/>
          <w:sz w:val="21"/>
          <w:szCs w:val="21"/>
          <w:color w:val="auto"/>
        </w:rPr>
      </w:pPr>
    </w:p>
    <w:p>
      <w:pPr>
        <w:jc w:val="both"/>
        <w:ind w:firstLine="1755"/>
        <w:spacing w:after="0" w:line="244" w:lineRule="auto"/>
        <w:tabs>
          <w:tab w:leader="none" w:pos="205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such Performance Awards for which the performance cycle has not ended prior to the Change in Control, the amount Executive would have received in respect of such awards assuming that (I) any performance conditions are deemed achieved at the greater of target and actual performance as of the Change in Control, as determined by the Committee, and (II) the value of each unit underlying such Performance Awards is equal to the 20 Day VWAP, with such amounts described in clauses (y) and (z) payable at the same time that the Performance Awards would have been settled pursuant to the terms of the Equity Plan and the award agreement governing such Performance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15 of 15</w:t>
      </w:r>
    </w:p>
    <w:p>
      <w:pPr>
        <w:sectPr>
          <w:pgSz w:w="11900" w:h="16838" w:orient="portrait"/>
          <w:cols w:equalWidth="0" w:num="1">
            <w:col w:w="11240"/>
          </w:cols>
          <w:pgMar w:left="320" w:top="137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640" w:type="dxa"/>
        <w:tblCellMar>
          <w:top w:w="0" w:type="dxa"/>
          <w:left w:w="0" w:type="dxa"/>
          <w:bottom w:w="0" w:type="dxa"/>
          <w:right w:w="0" w:type="dxa"/>
        </w:tblCellMar>
      </w:tblPr>
      <w:tr>
        <w:trPr>
          <w:trHeight w:val="213"/>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7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64" w:lineRule="exact"/>
        <w:rPr>
          <w:sz w:val="20"/>
          <w:szCs w:val="20"/>
          <w:color w:val="auto"/>
        </w:rPr>
      </w:pPr>
    </w:p>
    <w:p>
      <w:pPr>
        <w:ind w:left="380" w:hanging="175"/>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April 28, 2024 (the “Report”), I, Mark A. Clouse,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1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2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April 28, 2024 (the “Report”), I, Carrie L. Anderson,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3"/>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3"/>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6"/>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3"/>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lowerLetter"/>
      <w:start w:val="2"/>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
      <w:numFmt w:val="bullet"/>
      <w:start w:val="1"/>
    </w:lvl>
    <w:lvl w:ilvl="1">
      <w:lvlJc w:val="left"/>
      <w:lvlText w:val="%2"/>
      <w:numFmt w:val="decimal"/>
      <w:start w:val="104"/>
    </w:lvl>
  </w:abstractNum>
  <w:abstractNum w:abstractNumId="44">
    <w:nsid w:val="741226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5">
    <w:nsid w:val="D34B6A8"/>
    <w:multiLevelType w:val="hybridMultilevel"/>
    <w:lvl w:ilvl="0">
      <w:lvlJc w:val="left"/>
      <w:lvlText w:val="%1"/>
      <w:numFmt w:val="lowerLetter"/>
      <w:start w:val="1"/>
    </w:lvl>
    <w:lvl w:ilvl="1">
      <w:lvlJc w:val="left"/>
      <w:lvlText w:val="(%2)"/>
      <w:numFmt w:val="decimal"/>
      <w:start w:val="30"/>
    </w:lvl>
  </w:abstractNum>
  <w:abstractNum w:abstractNumId="46">
    <w:nsid w:val="10233C99"/>
    <w:multiLevelType w:val="hybridMultilevel"/>
    <w:lvl w:ilvl="0">
      <w:lvlJc w:val="left"/>
      <w:lvlText w:val="%1."/>
      <w:numFmt w:val="lowerLetter"/>
      <w:start w:val="2"/>
    </w:lvl>
    <w:lvl w:ilvl="1">
      <w:lvlJc w:val="left"/>
      <w:lvlText w:val="%2"/>
      <w:numFmt w:val="decimal"/>
      <w:start w:val="1"/>
    </w:lvl>
  </w:abstractNum>
  <w:abstractNum w:abstractNumId="47">
    <w:nsid w:val="3F6AB60F"/>
    <w:multiLevelType w:val="hybridMultilevel"/>
    <w:lvl w:ilvl="0">
      <w:lvlJc w:val="left"/>
      <w:lvlText w:val="%1."/>
      <w:numFmt w:val="lowerRoman"/>
      <w:start w:val="1"/>
    </w:lvl>
  </w:abstractNum>
  <w:abstractNum w:abstractNumId="48">
    <w:nsid w:val="61574095"/>
    <w:multiLevelType w:val="hybridMultilevel"/>
    <w:lvl w:ilvl="0">
      <w:lvlJc w:val="left"/>
      <w:lvlText w:val="%1"/>
      <w:numFmt w:val="lowerRoman"/>
      <w:start w:val="1"/>
    </w:lvl>
    <w:lvl w:ilvl="1">
      <w:lvlJc w:val="left"/>
      <w:lvlText w:val="%2."/>
      <w:numFmt w:val="lowerRoman"/>
      <w:start w:val="2"/>
    </w:lvl>
  </w:abstractNum>
  <w:abstractNum w:abstractNumId="49">
    <w:nsid w:val="7E0C57B1"/>
    <w:multiLevelType w:val="hybridMultilevel"/>
    <w:lvl w:ilvl="0">
      <w:lvlJc w:val="left"/>
      <w:lvlText w:val="%1."/>
      <w:numFmt w:val="lowerRoman"/>
      <w:start w:val="4"/>
    </w:lvl>
    <w:lvl w:ilvl="1">
      <w:lvlJc w:val="left"/>
      <w:lvlText w:val="%2."/>
      <w:numFmt w:val="lowerRoman"/>
      <w:start w:val="6"/>
    </w:lvl>
  </w:abstractNum>
  <w:abstractNum w:abstractNumId="50">
    <w:nsid w:val="77AE35EB"/>
    <w:multiLevelType w:val="hybridMultilevel"/>
    <w:lvl w:ilvl="0">
      <w:lvlJc w:val="left"/>
      <w:lvlText w:val="%1."/>
      <w:numFmt w:val="lowerLetter"/>
      <w:start w:val="5"/>
    </w:lvl>
  </w:abstractNum>
  <w:abstractNum w:abstractNumId="51">
    <w:nsid w:val="579BE4F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2">
    <w:nsid w:val="310C50B3"/>
    <w:multiLevelType w:val="hybridMultilevel"/>
    <w:lvl w:ilvl="0">
      <w:lvlJc w:val="left"/>
      <w:lvlText w:val="%1."/>
      <w:numFmt w:val="lowerRoman"/>
      <w:start w:val="3"/>
    </w:lvl>
  </w:abstractNum>
  <w:abstractNum w:abstractNumId="53">
    <w:nsid w:val="5FF87E05"/>
    <w:multiLevelType w:val="hybridMultilevel"/>
    <w:lvl w:ilvl="0">
      <w:lvlJc w:val="left"/>
      <w:lvlText w:val="%1"/>
      <w:numFmt w:val="lowerRoman"/>
      <w:start w:val="1"/>
    </w:lvl>
    <w:lvl w:ilvl="1">
      <w:lvlJc w:val="left"/>
      <w:lvlText w:val="(%2)"/>
      <w:numFmt w:val="decimal"/>
      <w:start w:val="2"/>
    </w:lvl>
  </w:abstractNum>
  <w:abstractNum w:abstractNumId="54">
    <w:nsid w:val="2F305DEF"/>
    <w:multiLevelType w:val="hybridMultilevel"/>
    <w:lvl w:ilvl="0">
      <w:lvlJc w:val="left"/>
      <w:lvlText w:val="%1."/>
      <w:numFmt w:val="lowerRoman"/>
      <w:start w:val="4"/>
    </w:lvl>
    <w:lvl w:ilvl="1">
      <w:lvlJc w:val="left"/>
      <w:lvlText w:val="%2"/>
      <w:numFmt w:val="decimal"/>
      <w:start w:val="1"/>
    </w:lvl>
  </w:abstractNum>
  <w:abstractNum w:abstractNumId="55">
    <w:nsid w:val="25A70BF7"/>
    <w:multiLevelType w:val="hybridMultilevel"/>
    <w:lvl w:ilvl="0">
      <w:lvlJc w:val="left"/>
      <w:lvlText w:val="%1."/>
      <w:numFmt w:val="lowerRoman"/>
      <w:start w:val="5"/>
    </w:lvl>
  </w:abstractNum>
  <w:abstractNum w:abstractNumId="56">
    <w:nsid w:val="1DBABF00"/>
    <w:multiLevelType w:val="hybridMultilevel"/>
    <w:lvl w:ilvl="0">
      <w:lvlJc w:val="left"/>
      <w:lvlText w:val="%1"/>
      <w:numFmt w:val="lowerLetter"/>
      <w:start w:val="1"/>
    </w:lvl>
    <w:lvl w:ilvl="1">
      <w:lvlJc w:val="left"/>
      <w:lvlText w:val="%2."/>
      <w:numFmt w:val="lowerRoman"/>
      <w:start w:val="6"/>
    </w:lvl>
  </w:abstractNum>
  <w:abstractNum w:abstractNumId="57">
    <w:nsid w:val="4AD084E9"/>
    <w:multiLevelType w:val="hybridMultilevel"/>
    <w:lvl w:ilvl="0">
      <w:lvlJc w:val="left"/>
      <w:lvlText w:val="%1."/>
      <w:numFmt w:val="lowerLetter"/>
      <w:start w:val="3"/>
    </w:lvl>
    <w:lvl w:ilvl="1">
      <w:lvlJc w:val="left"/>
      <w:lvlText w:val="%2"/>
      <w:numFmt w:val="lowerRoman"/>
      <w:start w:val="1"/>
    </w:lvl>
  </w:abstractNum>
  <w:abstractNum w:abstractNumId="58">
    <w:nsid w:val="1F48EAA1"/>
    <w:multiLevelType w:val="hybridMultilevel"/>
    <w:lvl w:ilvl="0">
      <w:lvlJc w:val="left"/>
      <w:lvlText w:val="%1."/>
      <w:numFmt w:val="decimal"/>
      <w:start w:val="4"/>
    </w:lvl>
    <w:lvl w:ilvl="1">
      <w:lvlJc w:val="left"/>
      <w:lvlText w:val="%2."/>
      <w:numFmt w:val="lowerLetter"/>
      <w:start w:val="1"/>
    </w:lvl>
  </w:abstractNum>
  <w:abstractNum w:abstractNumId="59">
    <w:nsid w:val="1381823A"/>
    <w:multiLevelType w:val="hybridMultilevel"/>
    <w:lvl w:ilvl="0">
      <w:lvlJc w:val="left"/>
      <w:lvlText w:val="%1."/>
      <w:numFmt w:val="decimal"/>
      <w:start w:val="6"/>
    </w:lvl>
    <w:lvl w:ilvl="1">
      <w:lvlJc w:val="left"/>
      <w:lvlText w:val="%2."/>
      <w:numFmt w:val="lowerLetter"/>
      <w:start w:val="1"/>
    </w:lvl>
  </w:abstractNum>
  <w:abstractNum w:abstractNumId="60">
    <w:nsid w:val="5DB70AE5"/>
    <w:multiLevelType w:val="hybridMultilevel"/>
    <w:lvl w:ilvl="0">
      <w:lvlJc w:val="left"/>
      <w:lvlText w:val="%1"/>
      <w:numFmt w:val="decimal"/>
      <w:start w:val="1"/>
    </w:lvl>
    <w:lvl w:ilvl="1">
      <w:lvlJc w:val="left"/>
      <w:lvlText w:val="%2."/>
      <w:numFmt w:val="lowerLetter"/>
      <w:start w:val="2"/>
    </w:lvl>
  </w:abstractNum>
  <w:abstractNum w:abstractNumId="61">
    <w:nsid w:val="100F8FCA"/>
    <w:multiLevelType w:val="hybridMultilevel"/>
    <w:lvl w:ilvl="0">
      <w:lvlJc w:val="left"/>
      <w:lvlText w:val="%1."/>
      <w:numFmt w:val="decimal"/>
      <w:start w:val="8"/>
    </w:lvl>
    <w:lvl w:ilvl="1">
      <w:lvlJc w:val="left"/>
      <w:lvlText w:val="%2"/>
      <w:numFmt w:val="lowerLetter"/>
      <w:start w:val="1"/>
    </w:lvl>
  </w:abstractNum>
  <w:abstractNum w:abstractNumId="62">
    <w:nsid w:val="6590700B"/>
    <w:multiLevelType w:val="hybridMultilevel"/>
    <w:lvl w:ilvl="0">
      <w:lvlJc w:val="left"/>
      <w:lvlText w:val="%1."/>
      <w:numFmt w:val="decimal"/>
      <w:start w:val="10"/>
    </w:lvl>
  </w:abstractNum>
  <w:abstractNum w:abstractNumId="63">
    <w:nsid w:val="15014ACB"/>
    <w:multiLevelType w:val="hybridMultilevel"/>
    <w:lvl w:ilvl="0">
      <w:lvlJc w:val="left"/>
      <w:lvlText w:val="%1."/>
      <w:numFmt w:val="decimal"/>
      <w:start w:val="12"/>
    </w:lvl>
    <w:lvl w:ilvl="1">
      <w:lvlJc w:val="left"/>
      <w:lvlText w:val="%2."/>
      <w:numFmt w:val="lowerLetter"/>
      <w:start w:val="1"/>
    </w:lvl>
  </w:abstractNum>
  <w:abstractNum w:abstractNumId="64">
    <w:nsid w:val="5F5E7FD0"/>
    <w:multiLevelType w:val="hybridMultilevel"/>
    <w:lvl w:ilvl="0">
      <w:lvlJc w:val="left"/>
      <w:lvlText w:val="%1"/>
      <w:numFmt w:val="decimal"/>
      <w:start w:val="1"/>
    </w:lvl>
    <w:lvl w:ilvl="1">
      <w:lvlJc w:val="left"/>
      <w:lvlText w:val="%2."/>
      <w:numFmt w:val="lowerLetter"/>
      <w:start w:val="3"/>
    </w:lvl>
  </w:abstractNum>
  <w:abstractNum w:abstractNumId="65">
    <w:nsid w:val="98A3148"/>
    <w:multiLevelType w:val="hybridMultilevel"/>
    <w:lvl w:ilvl="0">
      <w:lvlJc w:val="left"/>
      <w:lvlText w:val="%1."/>
      <w:numFmt w:val="decimal"/>
      <w:start w:val="16"/>
    </w:lvl>
    <w:lvl w:ilvl="1">
      <w:lvlJc w:val="left"/>
      <w:lvlText w:val="%2"/>
      <w:numFmt w:val="lowerLetter"/>
      <w:start w:val="1"/>
    </w:lvl>
  </w:abstractNum>
  <w:abstractNum w:abstractNumId="66">
    <w:nsid w:val="799D0247"/>
    <w:multiLevelType w:val="hybridMultilevel"/>
    <w:lvl w:ilvl="0">
      <w:lvlJc w:val="left"/>
      <w:lvlText w:val="%1."/>
      <w:numFmt w:val="decimal"/>
      <w:start w:val="19"/>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2"/>
    </w:lvl>
  </w:abstractNum>
  <w:abstractNum w:abstractNumId="69">
    <w:nsid w:val="168E121F"/>
    <w:multiLevelType w:val="hybridMultilevel"/>
    <w:lvl w:ilvl="0">
      <w:lvlJc w:val="left"/>
      <w:lvlText w:val="%1."/>
      <w:numFmt w:val="decimal"/>
      <w:start w:val="3"/>
    </w:lvl>
  </w:abstractNum>
  <w:abstractNum w:abstractNumId="70">
    <w:nsid w:val="1EBA5D23"/>
    <w:multiLevelType w:val="hybridMultilevel"/>
    <w:lvl w:ilvl="0">
      <w:lvlJc w:val="left"/>
      <w:lvlText w:val="(%1)"/>
      <w:numFmt w:val="lowerRoman"/>
      <w:start w:val="1"/>
    </w:lvl>
    <w:lvl w:ilvl="1">
      <w:lvlJc w:val="left"/>
      <w:lvlText w:val="(%2)"/>
      <w:numFmt w:val="lowerLetter"/>
      <w:start w:val="25"/>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68" Type="http://schemas.openxmlformats.org/officeDocument/2006/relationships/hyperlink" Target="https://www.sec.gov/Archives/edgar/data/16732/000119312524073519/d812515dex431.htm" TargetMode="External"/><Relationship Id="rId69" Type="http://schemas.openxmlformats.org/officeDocument/2006/relationships/hyperlink" Target="https://www.sec.gov/Archives/edgar/data/16732/000119312524073519/d812515dex432.htm" TargetMode="External"/><Relationship Id="rId70" Type="http://schemas.openxmlformats.org/officeDocument/2006/relationships/hyperlink" Target="https://www.sec.gov/Archives/edgar/data/16732/000119312524073519/d812515dex433.htm" TargetMode="External"/><Relationship Id="rId71" Type="http://schemas.openxmlformats.org/officeDocument/2006/relationships/hyperlink" Target="https://www.sec.gov/Archives/edgar/data/16732/000119312524073519/d812515dex434.htm" TargetMode="External"/><Relationship Id="rId72" Type="http://schemas.openxmlformats.org/officeDocument/2006/relationships/hyperlink" Target="https://www.sec.gov/Archives/edgar/data/16732/000119312524097732/d806817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2024-06-05T06:25:41Z</dcterms:created>
  <dcterms:modified xsi:type="dcterms:W3CDTF">2024-06-05T06:25:41Z</dcterms:modified>
</cp:coreProperties>
</file>