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3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Malone Mary Alice Dorrance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CPB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345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345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 Alice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1,814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84,268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Malone, Jr.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 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Follow-On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467,147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fbo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 Alice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Malone, Jr.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1984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14,554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 Mary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Malone, Jr.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1984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fbo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14,554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Catherine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Malone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Contango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18,426,809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Hera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1,333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Management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17,274,200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Consul FL,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LLC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4,271,414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Quizhou,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2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color w:val="0000FF"/>
                <w:vertAlign w:val="subscript"/>
              </w:rPr>
              <w:t>LP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Mary Alice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Dorrance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13,218,457</w:t>
            </w:r>
          </w:p>
        </w:tc>
        <w:tc>
          <w:tcPr>
            <w:tcW w:w="9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Malone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345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20" w:type="dxa"/>
            <w:vAlign w:val="bottom"/>
            <w:gridSpan w:val="12"/>
          </w:tcPr>
          <w:p>
            <w:pPr>
              <w:jc w:val="center"/>
              <w:ind w:right="823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Ms. Malone, Jr. is the beneficiary and co-trustee of the trust.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3"/>
        <w:spacing w:after="0" w:line="182" w:lineRule="auto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301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301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Ms. Malone, Jr. is a co-trustee and a remainder beneficiary of the trust. Ms. Malone, Jr. disclaims beneficial ownership of all of these shares except to the extent of her pecuniary interest therein.</w:t>
      </w:r>
    </w:p>
    <w:p>
      <w:pPr>
        <w:ind w:left="7340"/>
        <w:spacing w:after="0" w:line="237" w:lineRule="auto"/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Amount</w:t>
      </w:r>
    </w:p>
    <w:p>
      <w:pPr>
        <w:ind w:left="180" w:hanging="133"/>
        <w:spacing w:after="0" w:line="208" w:lineRule="auto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Contango Limited LP, of which Hera Management LLC, of which Ms. Malone, Jr. is a co-manager, is the general partner. Ms.</w:t>
      </w:r>
      <w:r>
        <w:rPr>
          <w:rFonts w:ascii="Arial" w:cs="Arial" w:eastAsia="Arial" w:hAnsi="Arial"/>
          <w:sz w:val="11"/>
          <w:szCs w:val="11"/>
          <w:b w:val="1"/>
          <w:bCs w:val="1"/>
          <w:color w:val="000000"/>
        </w:rPr>
        <w:t>or</w:t>
      </w: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Malone, Jr. disclaims beneficial ownership of all of these shares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448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except to the extent of her pecuniary interest therein.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60" w:type="dxa"/>
            <w:vAlign w:val="bottom"/>
          </w:tcPr>
          <w:p>
            <w:pPr>
              <w:ind w:left="4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ind w:left="46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0700" w:type="dxa"/>
            <w:vAlign w:val="bottom"/>
            <w:gridSpan w:val="4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4. Held by Hera Management LLC, of which Ms. Malone, Jr. is a co-manager. Ms. Malone, Jr. disclaims beneficial ownership of all of these shares except to the extent of her pecuniary interest therein.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480" w:type="dxa"/>
            <w:vAlign w:val="bottom"/>
          </w:tcPr>
          <w:p>
            <w:pPr>
              <w:ind w:left="380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20" w:type="dxa"/>
            <w:vAlign w:val="bottom"/>
          </w:tcPr>
          <w:p>
            <w:pPr>
              <w:ind w:left="1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38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Consul FL, LLC, of which Ms. Malone, Jr. is a co-manager. Ms. Malone, Jr. disclaims beneficial ownership of all of these shares except to the extent of her pecuniary interest therein.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00" w:firstLine="7"/>
        <w:spacing w:after="0" w:line="272" w:lineRule="auto"/>
        <w:tabs>
          <w:tab w:leader="none" w:pos="17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Quizhou, LP, of which Grandjaero Management, LLC, of which Ms. Malone, Jr. is a co-manager, is the general partner. Ms. Malone, Jr. disclaims beneficial ownership of all of these shares except to the extent of her pecuniary interest therein.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Ms. Malone, Jr. is co-beneficiary and co-trustee of the trust. Ms. Malone, Jr. disclaims beneficial ownership of all of these shares except to the extent of her pecuniary interest therein.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Marci K. Donnelly, Attorney-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-28575</wp:posOffset>
            </wp:positionV>
            <wp:extent cx="13093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4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2078870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2026-06-30T15:33:33Z</dcterms:created>
  <dcterms:modified xsi:type="dcterms:W3CDTF">2026-06-30T15:33:33Z</dcterms:modified>
</cp:coreProperties>
</file>