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jc w:val="center"/>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1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_________________________________________________________________________________</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ANNUAL REPORT PURSUANT TO SECTION 13 OR 15(d)</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2" w:lineRule="exact"/>
        <w:rPr>
          <w:sz w:val="24"/>
          <w:szCs w:val="24"/>
          <w:color w:val="auto"/>
        </w:rPr>
      </w:pPr>
    </w:p>
    <w:p>
      <w:pPr>
        <w:ind w:left="700"/>
        <w:spacing w:after="0"/>
        <w:tabs>
          <w:tab w:leader="none" w:pos="8620" w:val="left"/>
        </w:tabs>
        <w:rPr>
          <w:sz w:val="20"/>
          <w:szCs w:val="20"/>
          <w:color w:val="auto"/>
        </w:rPr>
      </w:pPr>
      <w:r>
        <w:rPr>
          <w:rFonts w:ascii="Times New Roman" w:cs="Times New Roman" w:eastAsia="Times New Roman" w:hAnsi="Times New Roman"/>
          <w:sz w:val="17"/>
          <w:szCs w:val="17"/>
          <w:b w:val="1"/>
          <w:bCs w:val="1"/>
          <w:color w:val="auto"/>
        </w:rPr>
        <w:t>For the Fiscal Year Ended</w:t>
      </w:r>
      <w:r>
        <w:rPr>
          <w:sz w:val="20"/>
          <w:szCs w:val="20"/>
          <w:color w:val="auto"/>
        </w:rPr>
        <w:tab/>
      </w:r>
      <w:r>
        <w:rPr>
          <w:rFonts w:ascii="Times New Roman" w:cs="Times New Roman" w:eastAsia="Times New Roman" w:hAnsi="Times New Roman"/>
          <w:sz w:val="17"/>
          <w:szCs w:val="17"/>
          <w:b w:val="1"/>
          <w:bCs w:val="1"/>
          <w:color w:val="auto"/>
        </w:rPr>
        <w:t>Commission File Number</w:t>
      </w:r>
    </w:p>
    <w:p>
      <w:pPr>
        <w:spacing w:after="0" w:line="31" w:lineRule="exact"/>
        <w:rPr>
          <w:sz w:val="24"/>
          <w:szCs w:val="24"/>
          <w:color w:val="auto"/>
        </w:rPr>
      </w:pPr>
    </w:p>
    <w:p>
      <w:pPr>
        <w:ind w:left="1180"/>
        <w:spacing w:after="0"/>
        <w:tabs>
          <w:tab w:leader="none" w:pos="9300" w:val="left"/>
        </w:tabs>
        <w:rPr>
          <w:sz w:val="20"/>
          <w:szCs w:val="20"/>
          <w:color w:val="auto"/>
        </w:rPr>
      </w:pPr>
      <w:r>
        <w:rPr>
          <w:rFonts w:ascii="Times New Roman" w:cs="Times New Roman" w:eastAsia="Times New Roman" w:hAnsi="Times New Roman"/>
          <w:sz w:val="17"/>
          <w:szCs w:val="17"/>
          <w:b w:val="1"/>
          <w:bCs w:val="1"/>
          <w:color w:val="auto"/>
        </w:rPr>
        <w:t>July 31, 2022</w:t>
      </w:r>
      <w:r>
        <w:rPr>
          <w:sz w:val="20"/>
          <w:szCs w:val="20"/>
          <w:color w:val="auto"/>
        </w:rPr>
        <w:tab/>
      </w:r>
      <w:r>
        <w:rPr>
          <w:rFonts w:ascii="Times New Roman" w:cs="Times New Roman" w:eastAsia="Times New Roman" w:hAnsi="Times New Roman"/>
          <w:sz w:val="17"/>
          <w:szCs w:val="17"/>
          <w:b w:val="1"/>
          <w:bCs w:val="1"/>
          <w:color w:val="auto"/>
        </w:rPr>
        <w:t>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71755</wp:posOffset>
            </wp:positionV>
            <wp:extent cx="1406525" cy="514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6525" cy="514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CAMPBELL SOUP COMPANY</w:t>
      </w:r>
    </w:p>
    <w:p>
      <w:pPr>
        <w:spacing w:after="0" w:line="67" w:lineRule="exact"/>
        <w:rPr>
          <w:sz w:val="24"/>
          <w:szCs w:val="24"/>
          <w:color w:val="auto"/>
        </w:rPr>
      </w:pPr>
    </w:p>
    <w:p>
      <w:pPr>
        <w:ind w:left="2460"/>
        <w:spacing w:after="0"/>
        <w:tabs>
          <w:tab w:leader="none" w:pos="7940" w:val="left"/>
        </w:tabs>
        <w:rPr>
          <w:sz w:val="20"/>
          <w:szCs w:val="20"/>
          <w:color w:val="auto"/>
        </w:rPr>
      </w:pPr>
      <w:r>
        <w:rPr>
          <w:rFonts w:ascii="Times New Roman" w:cs="Times New Roman" w:eastAsia="Times New Roman" w:hAnsi="Times New Roman"/>
          <w:sz w:val="17"/>
          <w:szCs w:val="17"/>
          <w:b w:val="1"/>
          <w:bCs w:val="1"/>
          <w:color w:val="auto"/>
        </w:rPr>
        <w:t>New Jersey</w:t>
      </w:r>
      <w:r>
        <w:rPr>
          <w:sz w:val="20"/>
          <w:szCs w:val="20"/>
          <w:color w:val="auto"/>
        </w:rPr>
        <w:tab/>
      </w:r>
      <w:r>
        <w:rPr>
          <w:rFonts w:ascii="Times New Roman" w:cs="Times New Roman" w:eastAsia="Times New Roman" w:hAnsi="Times New Roman"/>
          <w:sz w:val="16"/>
          <w:szCs w:val="16"/>
          <w:b w:val="1"/>
          <w:bCs w:val="1"/>
          <w:color w:val="auto"/>
        </w:rPr>
        <w:t>21-0419870</w:t>
      </w:r>
    </w:p>
    <w:p>
      <w:pPr>
        <w:spacing w:after="0" w:line="31" w:lineRule="exact"/>
        <w:rPr>
          <w:sz w:val="24"/>
          <w:szCs w:val="24"/>
          <w:color w:val="auto"/>
        </w:rPr>
      </w:pPr>
    </w:p>
    <w:p>
      <w:pPr>
        <w:ind w:left="2100"/>
        <w:spacing w:after="0"/>
        <w:tabs>
          <w:tab w:leader="none" w:pos="7180" w:val="left"/>
        </w:tabs>
        <w:rPr>
          <w:sz w:val="20"/>
          <w:szCs w:val="20"/>
          <w:color w:val="auto"/>
        </w:rPr>
      </w:pPr>
      <w:r>
        <w:rPr>
          <w:rFonts w:ascii="Times New Roman" w:cs="Times New Roman" w:eastAsia="Times New Roman" w:hAnsi="Times New Roman"/>
          <w:sz w:val="17"/>
          <w:szCs w:val="17"/>
          <w:i w:val="1"/>
          <w:iCs w:val="1"/>
          <w:color w:val="auto"/>
        </w:rPr>
        <w:t>State of Incorporation</w:t>
      </w:r>
      <w:r>
        <w:rPr>
          <w:sz w:val="20"/>
          <w:szCs w:val="20"/>
          <w:color w:val="auto"/>
        </w:rPr>
        <w:tab/>
      </w:r>
      <w:r>
        <w:rPr>
          <w:rFonts w:ascii="Times New Roman" w:cs="Times New Roman" w:eastAsia="Times New Roman" w:hAnsi="Times New Roman"/>
          <w:sz w:val="17"/>
          <w:szCs w:val="17"/>
          <w:i w:val="1"/>
          <w:iCs w:val="1"/>
          <w:color w:val="auto"/>
        </w:rPr>
        <w:t>I.R.S. Employer Identification No.</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 Campbell Place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Camden, New Jersey 08103-1799</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Principal Executive Offices</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Telephone Number: (856) 342-4800</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28" w:lineRule="exact"/>
        <w:rPr>
          <w:sz w:val="24"/>
          <w:szCs w:val="24"/>
          <w:color w:val="auto"/>
        </w:rPr>
      </w:pPr>
    </w:p>
    <w:p>
      <w:pPr>
        <w:ind w:left="1560"/>
        <w:spacing w:after="0"/>
        <w:tabs>
          <w:tab w:leader="none" w:pos="5000" w:val="left"/>
          <w:tab w:leader="none" w:pos="7280" w:val="left"/>
        </w:tabs>
        <w:rPr>
          <w:sz w:val="20"/>
          <w:szCs w:val="20"/>
          <w:color w:val="auto"/>
        </w:rPr>
      </w:pPr>
      <w:r>
        <w:rPr>
          <w:rFonts w:ascii="Times New Roman" w:cs="Times New Roman" w:eastAsia="Times New Roman" w:hAnsi="Times New Roman"/>
          <w:sz w:val="17"/>
          <w:szCs w:val="17"/>
          <w:b w:val="1"/>
          <w:bCs w:val="1"/>
          <w:color w:val="auto"/>
        </w:rPr>
        <w:t>Title of Each Class</w:t>
      </w:r>
      <w:r>
        <w:rPr>
          <w:sz w:val="20"/>
          <w:szCs w:val="20"/>
          <w:color w:val="auto"/>
        </w:rPr>
        <w:tab/>
      </w:r>
      <w:r>
        <w:rPr>
          <w:rFonts w:ascii="Times New Roman" w:cs="Times New Roman" w:eastAsia="Times New Roman" w:hAnsi="Times New Roman"/>
          <w:sz w:val="17"/>
          <w:szCs w:val="17"/>
          <w:b w:val="1"/>
          <w:bCs w:val="1"/>
          <w:color w:val="auto"/>
        </w:rPr>
        <w:t>Trading Symbol</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31" w:lineRule="exact"/>
        <w:rPr>
          <w:sz w:val="24"/>
          <w:szCs w:val="24"/>
          <w:color w:val="auto"/>
        </w:rPr>
      </w:pPr>
    </w:p>
    <w:p>
      <w:pPr>
        <w:ind w:left="1180"/>
        <w:spacing w:after="0"/>
        <w:tabs>
          <w:tab w:leader="none" w:pos="5420" w:val="left"/>
          <w:tab w:leader="none" w:pos="8040" w:val="left"/>
        </w:tabs>
        <w:rPr>
          <w:sz w:val="20"/>
          <w:szCs w:val="20"/>
          <w:color w:val="auto"/>
        </w:rPr>
      </w:pPr>
      <w:r>
        <w:rPr>
          <w:rFonts w:ascii="Times New Roman" w:cs="Times New Roman" w:eastAsia="Times New Roman" w:hAnsi="Times New Roman"/>
          <w:sz w:val="17"/>
          <w:szCs w:val="17"/>
          <w:color w:val="auto"/>
        </w:rPr>
        <w:t>Capital Stock, par value $.0375</w:t>
      </w:r>
      <w:r>
        <w:rPr>
          <w:sz w:val="20"/>
          <w:szCs w:val="20"/>
          <w:color w:val="auto"/>
        </w:rPr>
        <w:tab/>
      </w:r>
      <w:r>
        <w:rPr>
          <w:rFonts w:ascii="Times New Roman" w:cs="Times New Roman" w:eastAsia="Times New Roman" w:hAnsi="Times New Roman"/>
          <w:sz w:val="17"/>
          <w:szCs w:val="17"/>
          <w:color w:val="auto"/>
        </w:rPr>
        <w:t>CPB</w:t>
      </w:r>
      <w:r>
        <w:rPr>
          <w:sz w:val="20"/>
          <w:szCs w:val="20"/>
          <w:color w:val="auto"/>
        </w:rPr>
        <w:tab/>
      </w:r>
      <w:r>
        <w:rPr>
          <w:rFonts w:ascii="Times New Roman" w:cs="Times New Roman" w:eastAsia="Times New Roman" w:hAnsi="Times New Roman"/>
          <w:sz w:val="16"/>
          <w:szCs w:val="16"/>
          <w:color w:val="auto"/>
        </w:rPr>
        <w:t>New York Stock Exchange</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 None</w:t>
      </w:r>
    </w:p>
    <w:p>
      <w:pPr>
        <w:spacing w:after="0" w:line="76" w:lineRule="exact"/>
        <w:rPr>
          <w:sz w:val="24"/>
          <w:szCs w:val="24"/>
          <w:color w:val="auto"/>
        </w:rPr>
      </w:pPr>
    </w:p>
    <w:p>
      <w:pPr>
        <w:ind w:left="320" w:right="1940"/>
        <w:spacing w:after="0" w:line="277"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w:t>
      </w:r>
      <w:r>
        <w:rPr>
          <w:rFonts w:ascii="MS PGothic" w:cs="MS PGothic" w:eastAsia="MS PGothic" w:hAnsi="MS PGothic"/>
          <w:sz w:val="15"/>
          <w:szCs w:val="15"/>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333333"/>
        </w:rPr>
        <w:t>☐</w:t>
      </w:r>
      <w:r>
        <w:rPr>
          <w:rFonts w:ascii="Times New Roman" w:cs="Times New Roman" w:eastAsia="Times New Roman" w:hAnsi="Times New Roman"/>
          <w:sz w:val="17"/>
          <w:szCs w:val="17"/>
          <w:color w:val="auto"/>
        </w:rPr>
        <w:t xml:space="preserve"> No Indicate by check mark if the registrant is not required to file reports pursuant to Section 13 or 15(d) of the Act. </w:t>
      </w:r>
      <w:r>
        <w:rPr>
          <w:rFonts w:ascii="MS PGothic" w:cs="MS PGothic" w:eastAsia="MS PGothic" w:hAnsi="MS PGothic"/>
          <w:sz w:val="17"/>
          <w:szCs w:val="17"/>
          <w:color w:val="333333"/>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7"/>
          <w:szCs w:val="17"/>
          <w:color w:val="auto"/>
        </w:rPr>
        <w:t xml:space="preserve"> No</w:t>
      </w:r>
    </w:p>
    <w:p>
      <w:pPr>
        <w:spacing w:after="0" w:line="56" w:lineRule="exact"/>
        <w:rPr>
          <w:sz w:val="24"/>
          <w:szCs w:val="24"/>
          <w:color w:val="auto"/>
        </w:rPr>
      </w:pPr>
    </w:p>
    <w:p>
      <w:pPr>
        <w:jc w:val="both"/>
        <w:ind w:firstLine="309"/>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333333"/>
        </w:rPr>
        <w:t>☐</w:t>
      </w:r>
      <w:r>
        <w:rPr>
          <w:rFonts w:ascii="Times New Roman" w:cs="Times New Roman" w:eastAsia="Times New Roman" w:hAnsi="Times New Roman"/>
          <w:sz w:val="17"/>
          <w:szCs w:val="17"/>
          <w:color w:val="auto"/>
        </w:rPr>
        <w:t xml:space="preserve"> No</w:t>
      </w:r>
    </w:p>
    <w:p>
      <w:pPr>
        <w:spacing w:after="0" w:line="56" w:lineRule="exact"/>
        <w:rPr>
          <w:sz w:val="24"/>
          <w:szCs w:val="24"/>
          <w:color w:val="auto"/>
        </w:rPr>
      </w:pPr>
    </w:p>
    <w:p>
      <w:pPr>
        <w:jc w:val="both"/>
        <w:ind w:firstLine="309"/>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5"/>
          <w:szCs w:val="15"/>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333333"/>
        </w:rPr>
        <w:t>☐</w:t>
      </w:r>
      <w:r>
        <w:rPr>
          <w:rFonts w:ascii="Times New Roman" w:cs="Times New Roman" w:eastAsia="Times New Roman" w:hAnsi="Times New Roman"/>
          <w:sz w:val="17"/>
          <w:szCs w:val="17"/>
          <w:color w:val="auto"/>
        </w:rPr>
        <w:t xml:space="preserve"> No</w:t>
      </w:r>
    </w:p>
    <w:p>
      <w:pPr>
        <w:spacing w:after="0" w:line="43" w:lineRule="exact"/>
        <w:rPr>
          <w:sz w:val="24"/>
          <w:szCs w:val="24"/>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40" w:right="339" w:bottom="1440" w:gutter="0" w:footer="0" w:header="0"/>
        </w:sectPr>
      </w:pPr>
    </w:p>
    <w:p>
      <w:pPr>
        <w:spacing w:after="0" w:line="180"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7"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3"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6"/>
        </w:trPr>
        <w:tc>
          <w:tcPr>
            <w:tcW w:w="94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29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Accelerated filer</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9"/>
        </w:trPr>
        <w:tc>
          <w:tcPr>
            <w:tcW w:w="94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29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9"/>
        </w:trPr>
        <w:tc>
          <w:tcPr>
            <w:tcW w:w="94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2980" w:type="dxa"/>
            <w:vAlign w:val="bottom"/>
          </w:tcPr>
          <w:p>
            <w:pPr>
              <w:spacing w:after="0"/>
              <w:rPr>
                <w:sz w:val="23"/>
                <w:szCs w:val="23"/>
                <w:color w:val="auto"/>
              </w:rPr>
            </w:pPr>
          </w:p>
        </w:tc>
        <w:tc>
          <w:tcPr>
            <w:tcW w:w="480" w:type="dxa"/>
            <w:vAlign w:val="bottom"/>
          </w:tcPr>
          <w:p>
            <w:pPr>
              <w:spacing w:after="0"/>
              <w:rPr>
                <w:sz w:val="23"/>
                <w:szCs w:val="23"/>
                <w:color w:val="auto"/>
              </w:rPr>
            </w:pPr>
          </w:p>
        </w:tc>
      </w:tr>
    </w:tbl>
    <w:p>
      <w:pPr>
        <w:spacing w:after="0" w:line="132" w:lineRule="exact"/>
        <w:rPr>
          <w:sz w:val="24"/>
          <w:szCs w:val="24"/>
          <w:color w:val="auto"/>
        </w:rPr>
      </w:pPr>
    </w:p>
    <w:p>
      <w:pPr>
        <w:sectPr>
          <w:pgSz w:w="11900" w:h="16838" w:orient="portrait"/>
          <w:cols w:equalWidth="0" w:num="2">
            <w:col w:w="3740" w:space="720"/>
            <w:col w:w="6780"/>
          </w:cols>
          <w:pgMar w:left="320" w:top="640" w:right="339" w:bottom="1440" w:gutter="0" w:footer="0" w:header="0"/>
          <w:type w:val="continuous"/>
        </w:sectPr>
      </w:pPr>
    </w:p>
    <w:p>
      <w:pPr>
        <w:jc w:val="both"/>
        <w:ind w:firstLine="309"/>
        <w:spacing w:after="0" w:line="22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333333"/>
        </w:rPr>
        <w:t>☐</w:t>
      </w:r>
    </w:p>
    <w:p>
      <w:pPr>
        <w:spacing w:after="0" w:line="56" w:lineRule="exact"/>
        <w:rPr>
          <w:sz w:val="24"/>
          <w:szCs w:val="24"/>
          <w:color w:val="auto"/>
        </w:rPr>
      </w:pPr>
    </w:p>
    <w:p>
      <w:pPr>
        <w:jc w:val="both"/>
        <w:ind w:firstLine="309"/>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27" w:lineRule="exact"/>
        <w:rPr>
          <w:sz w:val="24"/>
          <w:szCs w:val="24"/>
          <w:color w:val="auto"/>
        </w:rPr>
      </w:pPr>
    </w:p>
    <w:p>
      <w:pPr>
        <w:ind w:left="32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333333"/>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7"/>
          <w:szCs w:val="17"/>
          <w:color w:val="auto"/>
        </w:rPr>
        <w:t xml:space="preserve"> No</w:t>
      </w:r>
    </w:p>
    <w:p>
      <w:pPr>
        <w:spacing w:after="0" w:line="116" w:lineRule="exact"/>
        <w:rPr>
          <w:sz w:val="24"/>
          <w:szCs w:val="24"/>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Based on the closing price on the New York Stock Exchange on January 28, 2022 (the last business day of the registrant’s most recently completed second fiscal quarter), the aggregate market value of capital stock held by non-affiliates of the registrant was approximately $8,597,234,004. There were 299,364,411 shares of capital stock outstanding as of September 14, 2022.</w:t>
      </w:r>
    </w:p>
    <w:p>
      <w:pPr>
        <w:spacing w:after="0" w:line="5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Portions of the Registrant’s Proxy Statement for the 2022 Annual Meeting of Shareholders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396875</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4680" w:type="dxa"/>
            <w:vAlign w:val="bottom"/>
          </w:tcPr>
          <w:p>
            <w:pPr>
              <w:spacing w:after="0"/>
              <w:rPr>
                <w:sz w:val="17"/>
                <w:szCs w:val="17"/>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680" w:type="dxa"/>
            <w:vAlign w:val="bottom"/>
          </w:tcPr>
          <w:p>
            <w:pPr>
              <w:spacing w:after="0"/>
              <w:rPr>
                <w:sz w:val="17"/>
                <w:szCs w:val="17"/>
                <w:color w:val="auto"/>
              </w:rPr>
            </w:pPr>
          </w:p>
        </w:tc>
      </w:tr>
      <w:tr>
        <w:trPr>
          <w:trHeight w:val="260"/>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0000FF"/>
              </w:rPr>
              <w:t>PART I</w:t>
            </w:r>
          </w:p>
        </w:tc>
        <w:tc>
          <w:tcPr>
            <w:tcW w:w="1840" w:type="dxa"/>
            <w:vAlign w:val="bottom"/>
            <w:tcBorders>
              <w:top w:val="single" w:sz="8" w:color="auto"/>
            </w:tcBorders>
          </w:tcPr>
          <w:p>
            <w:pPr>
              <w:spacing w:after="0"/>
              <w:rPr>
                <w:sz w:val="22"/>
                <w:szCs w:val="22"/>
                <w:color w:val="auto"/>
              </w:rPr>
            </w:pPr>
          </w:p>
        </w:tc>
        <w:tc>
          <w:tcPr>
            <w:tcW w:w="268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 Business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3</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1A. Risk Factors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1B. Unresolved Staff Comments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14</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2. Properties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14</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3. Legal Proceedings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14</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14</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Information about our Executive Officers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15</w:t>
            </w:r>
          </w:p>
        </w:tc>
      </w:tr>
      <w:tr>
        <w:trPr>
          <w:trHeight w:val="219"/>
        </w:trPr>
        <w:tc>
          <w:tcPr>
            <w:tcW w:w="9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PART II</w:t>
            </w:r>
          </w:p>
        </w:tc>
        <w:tc>
          <w:tcPr>
            <w:tcW w:w="680" w:type="dxa"/>
            <w:vAlign w:val="bottom"/>
          </w:tcPr>
          <w:p>
            <w:pPr>
              <w:spacing w:after="0"/>
              <w:rPr>
                <w:sz w:val="19"/>
                <w:szCs w:val="19"/>
                <w:color w:val="auto"/>
              </w:rPr>
            </w:pP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5. Market for Registrant’s Capital Stock, Related Shareholder Matters and Issuer Purchases of Equity Securities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16</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6. Reserved</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17</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7. Management's Discussion and Analysis of Financial Condition and Results of Operations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17</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7A. Quantitative and Qualitative Disclosure about Market Risk</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34</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8. Financial Statements and Supplementary Data</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35</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9. Changes in and Disagreements with Accountants on Accounting and Financial Disclosure</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77</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9A. Controls and Procedures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77</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9B. Other Information</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77</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9C. Disclosure Regarding Foreign Jurisdictions that Prevent Inspections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77</w:t>
            </w:r>
          </w:p>
        </w:tc>
      </w:tr>
      <w:tr>
        <w:trPr>
          <w:trHeight w:val="219"/>
        </w:trPr>
        <w:tc>
          <w:tcPr>
            <w:tcW w:w="9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PART III</w:t>
            </w:r>
          </w:p>
        </w:tc>
        <w:tc>
          <w:tcPr>
            <w:tcW w:w="680" w:type="dxa"/>
            <w:vAlign w:val="bottom"/>
          </w:tcPr>
          <w:p>
            <w:pPr>
              <w:spacing w:after="0"/>
              <w:rPr>
                <w:sz w:val="19"/>
                <w:szCs w:val="19"/>
                <w:color w:val="auto"/>
              </w:rPr>
            </w:pP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10. Directors, Executive Officers and Corporate Governance</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77</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11. Executive Compensation</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77</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12. Security Ownership of Certain Beneficial Owners and Management and Related Shareholder Matters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78</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13. Certain Relationships and Related Transactions, and Director Independence</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78</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14. Principal Accounting Fees and Services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78</w:t>
            </w:r>
          </w:p>
        </w:tc>
      </w:tr>
      <w:tr>
        <w:trPr>
          <w:trHeight w:val="219"/>
        </w:trPr>
        <w:tc>
          <w:tcPr>
            <w:tcW w:w="9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PART IV</w:t>
            </w:r>
          </w:p>
        </w:tc>
        <w:tc>
          <w:tcPr>
            <w:tcW w:w="680" w:type="dxa"/>
            <w:vAlign w:val="bottom"/>
          </w:tcPr>
          <w:p>
            <w:pPr>
              <w:spacing w:after="0"/>
              <w:rPr>
                <w:sz w:val="19"/>
                <w:szCs w:val="19"/>
                <w:color w:val="auto"/>
              </w:rPr>
            </w:pP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15. Exhibits and Financial Statement Schedules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78</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16. Form 10-K Summary</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79</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Index to Exhibits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80</w:t>
            </w:r>
          </w:p>
        </w:tc>
      </w:tr>
      <w:tr>
        <w:trPr>
          <w:trHeight w:val="223"/>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Signatures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127000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19"/>
          </w:cols>
          <w:pgMar w:left="340" w:top="845"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 Risks and uncertainties include, but are not limited to, those discussed in "Risk Factors" and in the "Cautionary Factors That May Affect Future Results" in "Management’s Discussion and Analysis of Financial Condition and Results of Operations" in this Report. Our consolidated financial statements and the accompanying notes to the consolidated financial statements are presented in "Financial Statements and Supplementary Data."</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Business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Unless otherwise stated, the terms "we," "us," "our" and the "company" refer to Campbell Soup Company and its consolidated subsidiaries.</w:t>
      </w:r>
    </w:p>
    <w:p>
      <w:pPr>
        <w:spacing w:after="0" w:line="10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are a manufacturer and marketer of high-quality, branded food and beverage products. We organized as a business corporation under the laws of New Jersey on November 23, 1922; however, through predecessor organizations, we trace our heritage in the food business back to 1869. Our principal executive offices are in Camden, New Jersey 08103-1799.</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Divestitures</w:t>
      </w:r>
    </w:p>
    <w:p>
      <w:pPr>
        <w:spacing w:after="0" w:line="130"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completed the sale of our Kelsen business on September 23, 2019. On December 23, 2019, we completed the sale of our Arnott’s business and certain other international operations, including the simple meals and shelf-stable beverages businesses in Australia and Asia Pacific (the Arnott’s and other international operations). In addition, on October 11, 2019, we completed the sale of our European chips business.</w:t>
      </w:r>
    </w:p>
    <w:p>
      <w:pPr>
        <w:spacing w:after="0" w:line="5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used the net proceeds from the sales to reduce debt as described below in “Management’s Discussion and Analysis of Financial Condition and Results of Operations—Liquidity and Capital Resources.”</w:t>
      </w:r>
    </w:p>
    <w:p>
      <w:pPr>
        <w:spacing w:after="0" w:line="36"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Beginning in the fourth quarter of 2019, we have reflected the results of operations of our Kelsen business and the Arnott’s and other international operations (collectively referred to as Campbell International) as discontinued operations in the Consolidated Statements of Earnings for all periods presented. These businesses were historically included in the Snacks reportable segment. The results of the European chips business through the date of sale were reflected in continuing operations within the Snacks reportable segment.</w:t>
      </w:r>
    </w:p>
    <w:p>
      <w:pPr>
        <w:spacing w:after="0" w:line="4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 the fourth quarter of 2021, we completed the sale of our Plum baby food and snacks business. The results of the Plum baby food and snacks business through the date of sale were reflected in continuing operations within the Meals &amp; Beverages reportable segment.</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Note 3 to the Consolidated Financial Statements for additional information on our divestitures.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Reportable Segments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reportable segments are:</w:t>
      </w:r>
    </w:p>
    <w:p>
      <w:pPr>
        <w:spacing w:after="0" w:line="88" w:lineRule="exact"/>
        <w:rPr>
          <w:sz w:val="20"/>
          <w:szCs w:val="20"/>
          <w:color w:val="auto"/>
        </w:rPr>
      </w:pPr>
    </w:p>
    <w:p>
      <w:pPr>
        <w:jc w:val="both"/>
        <w:ind w:left="620" w:hanging="308"/>
        <w:spacing w:after="0" w:line="261"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Meals &amp; Beverages, which consists of our soup, simple meals and beverages products in retail and foodservice in the U.S. and Canada. The segment includes the following products: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condensed and ready-to-serve soups; </w:t>
      </w:r>
      <w:r>
        <w:rPr>
          <w:rFonts w:ascii="Times New Roman" w:cs="Times New Roman" w:eastAsia="Times New Roman" w:hAnsi="Times New Roman"/>
          <w:sz w:val="17"/>
          <w:szCs w:val="17"/>
          <w:i w:val="1"/>
          <w:iCs w:val="1"/>
          <w:color w:val="auto"/>
        </w:rPr>
        <w:t>Swanson</w:t>
      </w:r>
      <w:r>
        <w:rPr>
          <w:rFonts w:ascii="Times New Roman" w:cs="Times New Roman" w:eastAsia="Times New Roman" w:hAnsi="Times New Roman"/>
          <w:sz w:val="17"/>
          <w:szCs w:val="17"/>
          <w:color w:val="auto"/>
        </w:rPr>
        <w:t xml:space="preserve"> broth and stocks;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broth, soups and non-dairy beverages; </w:t>
      </w:r>
      <w:r>
        <w:rPr>
          <w:rFonts w:ascii="Times New Roman" w:cs="Times New Roman" w:eastAsia="Times New Roman" w:hAnsi="Times New Roman"/>
          <w:sz w:val="17"/>
          <w:szCs w:val="17"/>
          <w:i w:val="1"/>
          <w:iCs w:val="1"/>
          <w:color w:val="auto"/>
        </w:rPr>
        <w:t>Prego</w:t>
      </w:r>
      <w:r>
        <w:rPr>
          <w:rFonts w:ascii="Times New Roman" w:cs="Times New Roman" w:eastAsia="Times New Roman" w:hAnsi="Times New Roman"/>
          <w:sz w:val="17"/>
          <w:szCs w:val="17"/>
          <w:color w:val="auto"/>
        </w:rPr>
        <w:t xml:space="preserve"> pasta sauces; </w:t>
      </w:r>
      <w:r>
        <w:rPr>
          <w:rFonts w:ascii="Times New Roman" w:cs="Times New Roman" w:eastAsia="Times New Roman" w:hAnsi="Times New Roman"/>
          <w:sz w:val="17"/>
          <w:szCs w:val="17"/>
          <w:i w:val="1"/>
          <w:iCs w:val="1"/>
          <w:color w:val="auto"/>
        </w:rPr>
        <w:t>Pace</w:t>
      </w:r>
      <w:r>
        <w:rPr>
          <w:rFonts w:ascii="Times New Roman" w:cs="Times New Roman" w:eastAsia="Times New Roman" w:hAnsi="Times New Roman"/>
          <w:sz w:val="17"/>
          <w:szCs w:val="17"/>
          <w:color w:val="auto"/>
        </w:rPr>
        <w:t xml:space="preserve"> Mexican sauces;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gravies, pasta, beans and dinner sauces; </w:t>
      </w:r>
      <w:r>
        <w:rPr>
          <w:rFonts w:ascii="Times New Roman" w:cs="Times New Roman" w:eastAsia="Times New Roman" w:hAnsi="Times New Roman"/>
          <w:sz w:val="17"/>
          <w:szCs w:val="17"/>
          <w:i w:val="1"/>
          <w:iCs w:val="1"/>
          <w:color w:val="auto"/>
        </w:rPr>
        <w:t>Swanson</w:t>
      </w:r>
      <w:r>
        <w:rPr>
          <w:rFonts w:ascii="Times New Roman" w:cs="Times New Roman" w:eastAsia="Times New Roman" w:hAnsi="Times New Roman"/>
          <w:sz w:val="17"/>
          <w:szCs w:val="17"/>
          <w:color w:val="auto"/>
        </w:rPr>
        <w:t xml:space="preserve"> canned poultry; </w:t>
      </w:r>
      <w:r>
        <w:rPr>
          <w:rFonts w:ascii="Times New Roman" w:cs="Times New Roman" w:eastAsia="Times New Roman" w:hAnsi="Times New Roman"/>
          <w:sz w:val="17"/>
          <w:szCs w:val="17"/>
          <w:i w:val="1"/>
          <w:iCs w:val="1"/>
          <w:color w:val="auto"/>
        </w:rPr>
        <w:t>V8</w:t>
      </w:r>
      <w:r>
        <w:rPr>
          <w:rFonts w:ascii="Times New Roman" w:cs="Times New Roman" w:eastAsia="Times New Roman" w:hAnsi="Times New Roman"/>
          <w:sz w:val="17"/>
          <w:szCs w:val="17"/>
          <w:color w:val="auto"/>
        </w:rPr>
        <w:t xml:space="preserve"> juices and beverages; and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tomato juice. The segment also includes snacking products in foodservice and Canada. The segment included the results of our Plum baby food and snacks business, which was sold on May 3, 2021; and</w:t>
      </w:r>
    </w:p>
    <w:p>
      <w:pPr>
        <w:spacing w:after="0" w:line="53" w:lineRule="exact"/>
        <w:rPr>
          <w:rFonts w:ascii="Times New Roman" w:cs="Times New Roman" w:eastAsia="Times New Roman" w:hAnsi="Times New Roman"/>
          <w:sz w:val="17"/>
          <w:szCs w:val="17"/>
          <w:color w:val="auto"/>
        </w:rPr>
      </w:pPr>
    </w:p>
    <w:p>
      <w:pPr>
        <w:jc w:val="both"/>
        <w:ind w:left="620" w:hanging="308"/>
        <w:spacing w:after="0" w:line="265"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Snacks, which consists of Pepperidge Farm cookies*, crackers, fresh bakery and frozen products, including </w:t>
      </w:r>
      <w:r>
        <w:rPr>
          <w:rFonts w:ascii="Times New Roman" w:cs="Times New Roman" w:eastAsia="Times New Roman" w:hAnsi="Times New Roman"/>
          <w:sz w:val="17"/>
          <w:szCs w:val="17"/>
          <w:i w:val="1"/>
          <w:iCs w:val="1"/>
          <w:color w:val="auto"/>
        </w:rPr>
        <w:t>Goldfish</w:t>
      </w:r>
      <w:r>
        <w:rPr>
          <w:rFonts w:ascii="Times New Roman" w:cs="Times New Roman" w:eastAsia="Times New Roman" w:hAnsi="Times New Roman"/>
          <w:sz w:val="17"/>
          <w:szCs w:val="17"/>
          <w:color w:val="auto"/>
        </w:rPr>
        <w:t xml:space="preserve"> crackers*,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pretzels*, </w:t>
      </w:r>
      <w:r>
        <w:rPr>
          <w:rFonts w:ascii="Times New Roman" w:cs="Times New Roman" w:eastAsia="Times New Roman" w:hAnsi="Times New Roman"/>
          <w:sz w:val="17"/>
          <w:szCs w:val="17"/>
          <w:i w:val="1"/>
          <w:iCs w:val="1"/>
          <w:color w:val="auto"/>
        </w:rPr>
        <w:t>Lance</w:t>
      </w:r>
      <w:r>
        <w:rPr>
          <w:rFonts w:ascii="Times New Roman" w:cs="Times New Roman" w:eastAsia="Times New Roman" w:hAnsi="Times New Roman"/>
          <w:sz w:val="17"/>
          <w:szCs w:val="17"/>
          <w:color w:val="auto"/>
        </w:rPr>
        <w:t xml:space="preserve"> sandwich crackers*, </w:t>
      </w:r>
      <w:r>
        <w:rPr>
          <w:rFonts w:ascii="Times New Roman" w:cs="Times New Roman" w:eastAsia="Times New Roman" w:hAnsi="Times New Roman"/>
          <w:sz w:val="17"/>
          <w:szCs w:val="17"/>
          <w:i w:val="1"/>
          <w:iCs w:val="1"/>
          <w:color w:val="auto"/>
        </w:rPr>
        <w:t>Cape Cod</w:t>
      </w:r>
      <w:r>
        <w:rPr>
          <w:rFonts w:ascii="Times New Roman" w:cs="Times New Roman" w:eastAsia="Times New Roman" w:hAnsi="Times New Roman"/>
          <w:sz w:val="17"/>
          <w:szCs w:val="17"/>
          <w:color w:val="auto"/>
        </w:rPr>
        <w:t xml:space="preserve"> potato chips</w:t>
      </w:r>
      <w:r>
        <w:rPr>
          <w:rFonts w:ascii="Times New Roman" w:cs="Times New Roman" w:eastAsia="Times New Roman" w:hAnsi="Times New Roman"/>
          <w:sz w:val="17"/>
          <w:szCs w:val="17"/>
          <w:i w:val="1"/>
          <w:iCs w:val="1"/>
          <w:color w:val="auto"/>
        </w:rPr>
        <w:t>*, Kettle Brand</w:t>
      </w:r>
      <w:r>
        <w:rPr>
          <w:rFonts w:ascii="Times New Roman" w:cs="Times New Roman" w:eastAsia="Times New Roman" w:hAnsi="Times New Roman"/>
          <w:sz w:val="17"/>
          <w:szCs w:val="17"/>
          <w:color w:val="auto"/>
        </w:rPr>
        <w:t xml:space="preserve"> potato chips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Late July</w:t>
      </w:r>
      <w:r>
        <w:rPr>
          <w:rFonts w:ascii="Times New Roman" w:cs="Times New Roman" w:eastAsia="Times New Roman" w:hAnsi="Times New Roman"/>
          <w:sz w:val="17"/>
          <w:szCs w:val="17"/>
          <w:color w:val="auto"/>
        </w:rPr>
        <w:t xml:space="preserve"> snacks*, </w:t>
      </w:r>
      <w:r>
        <w:rPr>
          <w:rFonts w:ascii="Times New Roman" w:cs="Times New Roman" w:eastAsia="Times New Roman" w:hAnsi="Times New Roman"/>
          <w:sz w:val="17"/>
          <w:szCs w:val="17"/>
          <w:i w:val="1"/>
          <w:iCs w:val="1"/>
          <w:color w:val="auto"/>
        </w:rPr>
        <w:t>Snack Factory</w:t>
      </w:r>
      <w:r>
        <w:rPr>
          <w:rFonts w:ascii="Times New Roman" w:cs="Times New Roman" w:eastAsia="Times New Roman" w:hAnsi="Times New Roman"/>
          <w:sz w:val="17"/>
          <w:szCs w:val="17"/>
          <w:color w:val="auto"/>
        </w:rPr>
        <w:t xml:space="preserve"> pretzel crisps*</w:t>
      </w:r>
      <w:r>
        <w:rPr>
          <w:rFonts w:ascii="Times New Roman" w:cs="Times New Roman" w:eastAsia="Times New Roman" w:hAnsi="Times New Roman"/>
          <w:sz w:val="17"/>
          <w:szCs w:val="17"/>
          <w:i w:val="1"/>
          <w:iCs w:val="1"/>
          <w:color w:val="auto"/>
        </w:rPr>
        <w:t>, Pop Secret</w:t>
      </w:r>
      <w:r>
        <w:rPr>
          <w:rFonts w:ascii="Times New Roman" w:cs="Times New Roman" w:eastAsia="Times New Roman" w:hAnsi="Times New Roman"/>
          <w:sz w:val="17"/>
          <w:szCs w:val="17"/>
          <w:color w:val="auto"/>
        </w:rPr>
        <w:t xml:space="preserve"> popcorn, </w:t>
      </w:r>
      <w:r>
        <w:rPr>
          <w:rFonts w:ascii="Times New Roman" w:cs="Times New Roman" w:eastAsia="Times New Roman" w:hAnsi="Times New Roman"/>
          <w:sz w:val="17"/>
          <w:szCs w:val="17"/>
          <w:i w:val="1"/>
          <w:iCs w:val="1"/>
          <w:color w:val="auto"/>
        </w:rPr>
        <w:t>Emerald</w:t>
      </w:r>
      <w:r>
        <w:rPr>
          <w:rFonts w:ascii="Times New Roman" w:cs="Times New Roman" w:eastAsia="Times New Roman" w:hAnsi="Times New Roman"/>
          <w:sz w:val="17"/>
          <w:szCs w:val="17"/>
          <w:color w:val="auto"/>
        </w:rPr>
        <w:t xml:space="preserve"> nuts, and other snacking products in retail in the U.S. Beginning in 2022, we refer to the * brands as our "power brands." The segment includes the retail business in Latin America. The segment also included the results of our European chips business, which was sold on October 11, 2019.</w:t>
      </w:r>
    </w:p>
    <w:p>
      <w:pPr>
        <w:spacing w:after="0" w:line="55"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Beginning in 2022, the foodservice and Canadian business formerly included in our Snacks segment is now managed as part of the Meals &amp; Beverages segment. Segment results have been adjusted retrospectively to reflect this change. See Note 6 to</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3" w:name="page4"/>
    <w:bookmarkEnd w:id="3"/>
    <w:p>
      <w:pPr>
        <w:jc w:val="both"/>
        <w:spacing w:after="0" w:line="286" w:lineRule="auto"/>
        <w:rPr>
          <w:sz w:val="20"/>
          <w:szCs w:val="20"/>
          <w:color w:val="auto"/>
        </w:rPr>
      </w:pPr>
      <w:r>
        <w:rPr>
          <w:rFonts w:ascii="Times New Roman" w:cs="Times New Roman" w:eastAsia="Times New Roman" w:hAnsi="Times New Roman"/>
          <w:sz w:val="17"/>
          <w:szCs w:val="17"/>
          <w:color w:val="auto"/>
        </w:rPr>
        <w:t>the Consolidated Financial Statements and "Management's Discussion and Analysis of Financial Condition and Results of Operations" for additional information regarding our reportable segments.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Ingredients and Packaging</w:t>
      </w:r>
    </w:p>
    <w:p>
      <w:pPr>
        <w:spacing w:after="0" w:line="105" w:lineRule="exact"/>
        <w:rPr>
          <w:sz w:val="20"/>
          <w:szCs w:val="20"/>
          <w:color w:val="auto"/>
        </w:rPr>
      </w:pPr>
    </w:p>
    <w:p>
      <w:pPr>
        <w:jc w:val="both"/>
        <w:ind w:firstLine="309"/>
        <w:spacing w:after="0" w:line="255" w:lineRule="auto"/>
        <w:rPr>
          <w:sz w:val="20"/>
          <w:szCs w:val="20"/>
          <w:color w:val="auto"/>
        </w:rPr>
      </w:pPr>
      <w:r>
        <w:rPr>
          <w:rFonts w:ascii="Times New Roman" w:cs="Times New Roman" w:eastAsia="Times New Roman" w:hAnsi="Times New Roman"/>
          <w:sz w:val="17"/>
          <w:szCs w:val="17"/>
          <w:color w:val="auto"/>
        </w:rPr>
        <w:t>The ingredients and packaging materials required for the manufacture of our food and beverage products are purchased from various suppliers, substantially all of which are located in North America. During 2022, we experienced significantly elevated commodity and supply chain costs including the costs of labor, raw materials, energy, fuel, packaging materials and other inputs necessary for the production and distribution of our products. In addition, many of these items are subject to price fluctuations from a number of factors, including but not limited to climate change, changes in crop size, cattle cycles, herd and flock disease, crop disease, crop pests, product scarcity, demand for raw materials, commodity market speculation, energy costs, currency fluctuations, supplier capacities, government-sponsored agricultural programs and other government policy, import and export requirements (including tariffs), drought and excessive rain, temperature extremes and other adverse weather events, water scarcity, scarcity of suitable agricultural land, scarcity of organic ingredients, pandemic illness (such as the COVID-19 pandemic), armed hostilities (including the ongoing conflict between Russia and Ukraine) and other factors that may be beyond our control. To help reduce some of this price volatility, we use a combination of purchase orders, short- and long-term contracts, inventory management practices and various commodity risk management tools for most of our ingredients and packaging. Ingredient inventories are generally at a peak during the late fall and decline during the winter and spring. Since many ingredients of suitable quality are available in sufficient quantities only during certain seasons, we make commitments for the purchase of such ingredients in their respective seasons. Although we are unable to predict the impact of our ability to source these ingredients and packaging materials in the future, we expect these supply pressures to continue throughout 2023. We also expect the pressures of input cost inflation to continue into 2023.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92"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most of our markets, sales and merchandising activities are conducted through our own sales force and/or third-party brokers and distribution partners. Our products are generally resold to consumers through retail food chains, mass discounters, mass merchandisers, club stores, convenience stores, drug stores, dollar stores, e-commerce and other retail, commercial and non-commercial establishments. Our Snacks segment has a direct-store-delivery distribution model that uses independent contractor distributors.</w:t>
      </w:r>
    </w:p>
    <w:p>
      <w:pPr>
        <w:spacing w:after="0" w:line="54"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Our five largest customers accounted for approximately 47% of our consolidated net sales from continuing operations in 2022, 46% in 2021 and 44% in 2020. Our largest customer, Wal-Mart Stores, Inc. and its affiliates, accounted for approximately 22% of our consolidated net sales from continuing operations in 2022 and 21% in 2021 and 2020. Both of our reportable segments sold products to Wal-Mart Stores, Inc. or its affiliates. No other customer accounted for 10% or more of our consolidated net sales.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Trademarks and Technology</w:t>
      </w:r>
    </w:p>
    <w:p>
      <w:pPr>
        <w:spacing w:after="0" w:line="92"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 xml:space="preserve">As of September 14, 2022, we owned over 2,800 trademark registrations and applications in over 150 countries. We believe our trademarks are of material importance to our business. Although the laws vary by jurisdiction, trademarks generally are valid as long as they are in use and/or their registrations are properly maintained and have not been found to have become generic. Trademark registrations generally can be renewed indefinitely as long as the trademarks are in use. We believe that our principal brands, including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Cape Cod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Chunky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Emerald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Goldfish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Kettle Brand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Late July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Milano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Pepperidge Farm</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Pop Secret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Prego</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Snack Factory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Snyder's of Hanover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Spaghettios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Swanson</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i w:val="1"/>
          <w:iCs w:val="1"/>
          <w:color w:val="auto"/>
        </w:rPr>
        <w:t xml:space="preserve"> V8</w:t>
      </w:r>
      <w:r>
        <w:rPr>
          <w:rFonts w:ascii="Times New Roman" w:cs="Times New Roman" w:eastAsia="Times New Roman" w:hAnsi="Times New Roman"/>
          <w:sz w:val="17"/>
          <w:szCs w:val="17"/>
          <w:color w:val="auto"/>
        </w:rPr>
        <w:t>, are protected by trademark law in the major markets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where they are used.</w:t>
      </w:r>
    </w:p>
    <w:p>
      <w:pPr>
        <w:spacing w:after="0" w:line="61"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Although we own a number of valuable patents, we do not regard any segment of our business as being dependent upon any single patent or group of related patents. In addition, we own copyrights, both registered and unregistered, proprietary trade secrets, technology, know-how, processes and other intellectual property rights that are not registered.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92" w:lineRule="exact"/>
        <w:rPr>
          <w:sz w:val="20"/>
          <w:szCs w:val="20"/>
          <w:color w:val="auto"/>
        </w:rPr>
      </w:pPr>
    </w:p>
    <w:p>
      <w:pPr>
        <w:jc w:val="both"/>
        <w:ind w:firstLine="386"/>
        <w:spacing w:after="0" w:line="261" w:lineRule="auto"/>
        <w:rPr>
          <w:sz w:val="20"/>
          <w:szCs w:val="20"/>
          <w:color w:val="auto"/>
        </w:rPr>
      </w:pPr>
      <w:r>
        <w:rPr>
          <w:rFonts w:ascii="Times New Roman" w:cs="Times New Roman" w:eastAsia="Times New Roman" w:hAnsi="Times New Roman"/>
          <w:sz w:val="17"/>
          <w:szCs w:val="17"/>
          <w:color w:val="auto"/>
        </w:rPr>
        <w:t>We operate in a highly competitive industry and experience competition in all of our categories. This competition arises from numerous competitors of varying sizes across multiple food and beverage categories, and includes producers of private label products, as well as other branded food and beverage manufacturers. Private label products are generally sold at lower prices than branded products. Competitors market and sell their products through traditional retailers and e-commerce. All of these competitors vie for trade merchandising support and consumer dollars. The number of competitors cannot be reliably estimated. Our principal areas of competition are brand recognition, taste, nutritional value, price, promotion, innovation, shelf space and customer service.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Expenditures</w:t>
      </w:r>
    </w:p>
    <w:p>
      <w:pPr>
        <w:spacing w:after="0" w:line="10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During 2022, our aggregate capital expenditures were $242 million. We expect to spend approximately $325 million for capital projects in 2023. Major capital projects based on planned spend in 2023 include a cracker capacity expansion for our Snacks business and a new manufacturing line for our Meals &amp; Beverages business.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92"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The manufacture and sale of consumer food products is highly regulated. In the U.S., our activities are subject to regulation by various federal government agencies, including the Food and Drug Administration, the Department of Agriculture, the Federal Trade Commission, the Department of Labor, the Department of Commerce, the Occupational Safety and Health Administration and the Environmental Protection Agency, as well as various state and local agencies. Our business is also regulated by similar agencies outside of the U.S. Additionally, we are subject to data privacy and security regulations, tax and securities regulations, accounting and reporting standards, and other financial laws and regulations. We believe that we are in compliance with current laws and regulations in all material respects and do not expect that continued compliance with such laws and regulations will have a material effect on capital expenditures, earnings or our competitive position.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Matters</w:t>
      </w:r>
    </w:p>
    <w:p>
      <w:pPr>
        <w:spacing w:after="0" w:line="105"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We have requirements for the operation and design of our facilities that meet or exceed applicable environmental rules and regulations. Of our $242 million in capital expenditures made during 2022, approximately $9 million were for compliance with environmental laws and regulations in the U.S. We further estimate that approximately $13 million of the capital expenditures anticipated during 2023 will be for compliance with U.S. environmental laws and regulations. We believe that the continued compliance with existing environmental laws and regulations (both within the U.S. and elsewhere) will not have a material effect on capital expenditures, earnings or our competitive position. In addition, we continue to monitor existing and pending environmental laws and regulations within the U.S. and elsewhere relating to climate change and greenhouse gas emissions. While the impact of these laws and regulations cannot be predicted with certainty, we do not believe that compliance with these laws and regulations will have a material effect on capital expenditures, earnings or our competitive position.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05"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Demand for soup products is seasonal, with the fall and winter months usually accounting for the highest sales volume. Demand for our other products is generally evenly distributed throughout the year.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92"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 xml:space="preserve">A core pillar of our strategic plan is to build a winning team and culture. To do this, we are committed to building a company where everyone can be real, and feel safe, valued and supported to do their best work. We believe that our employees are the driving force behind our success and prioritize attracting, developing and retaining diverse, world-class talent and creating an inclusive culture that embodies our purpose: </w:t>
      </w:r>
      <w:r>
        <w:rPr>
          <w:rFonts w:ascii="Times New Roman" w:cs="Times New Roman" w:eastAsia="Times New Roman" w:hAnsi="Times New Roman"/>
          <w:sz w:val="17"/>
          <w:szCs w:val="17"/>
          <w:i w:val="1"/>
          <w:iCs w:val="1"/>
          <w:color w:val="auto"/>
        </w:rPr>
        <w:t>Connecting people through food they love</w:t>
      </w:r>
      <w:r>
        <w:rPr>
          <w:rFonts w:ascii="Times New Roman" w:cs="Times New Roman" w:eastAsia="Times New Roman" w:hAnsi="Times New Roman"/>
          <w:sz w:val="17"/>
          <w:szCs w:val="17"/>
          <w:color w:val="auto"/>
        </w:rPr>
        <w:t>. On July 31, 2022, we had approximately 14,700 employees.</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Training, Development and Engagement</w:t>
      </w:r>
    </w:p>
    <w:p>
      <w:pPr>
        <w:spacing w:after="0" w:line="105"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We invest in our employees through training and development programs. We have partnered with leading online content experts and have recently increased internal learning development to expand our catalog of courses and support our culture of continuous learning. A suite of training and education programs are available to employees ranging from role-specific training to education on soft skills to assist them with enhancing their careers through continuous learning. Through objective-setting, individual development plans, learning opportunities, feedback and coaching, employees are encouraged to continue their professional growth. Our education programs allow employees to focus on timely and topical development areas including leadership, management excellence, functional capabilities and inclusion and diversity. We communicate frequently and transparently with our employees through regular company-wide and business unit check-ins, and we conduct employee engagement surveys that provide our employees with an opportunity to share anonymous feedback with management in a variety of areas including confidence in leadership, growth and career opportunities, available resources, compensation and overall engagement. These surveys allow our leaders to develop action plans for their business units as well as the broader organization.</w:t>
      </w:r>
    </w:p>
    <w:p>
      <w:pPr>
        <w:spacing w:after="0" w:line="48"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Our Campbell Employee Experience Framework enhances the foundational moments that are key to an employee's career at our company - from the candidate experience and onboarding through career advancement - to help our employees thrive at work, with the goal of building an inclusive, engaging and high-performing culture.</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Inclusion and Diversity</w:t>
      </w:r>
    </w:p>
    <w:p>
      <w:pPr>
        <w:spacing w:after="0" w:line="10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believe that having an inclusive and diverse culture strengthens our ability to recruit and develop talent and allows all employees to thrive and succeed. Diversity of input and perspectives is an essential part of our strategic plan to build a winning team and culture, and we believe one key to success is attracting and retaining a diverse workforce that reflects our consumers of today and tomorrow. Our commitment to inclusion and diversity ("I&amp;D") is based on three guiding pillars:</w:t>
      </w:r>
    </w:p>
    <w:p>
      <w:pPr>
        <w:spacing w:after="0" w:line="41" w:lineRule="exact"/>
        <w:rPr>
          <w:sz w:val="20"/>
          <w:szCs w:val="20"/>
          <w:color w:val="auto"/>
        </w:rPr>
      </w:pPr>
    </w:p>
    <w:p>
      <w:pPr>
        <w:ind w:left="620" w:hanging="308"/>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Capabilities - providing resources and tools to employees to build capabilities to build a winning team and culture and to drive systemic change;</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Advocacy - strengthening ally networks by supporting our employees, our partners and the communities where we live and work; and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5" w:name="page6"/>
    <w:bookmarkEnd w:id="5"/>
    <w:p>
      <w:pPr>
        <w:ind w:left="620" w:hanging="308"/>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Accountability - having individual, management and organizational accountability and transparency about our progress on building an inclusive culture.</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also continue to provide I&amp;D learning experiences and foster employee resource groups to highlight issues that impact underrepresented communities.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Throughout 2022 the board of directors (Board) received regular updates from management on our inclusion and diversity efforts.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Wellness and Safety</w:t>
      </w:r>
    </w:p>
    <w:p>
      <w:pPr>
        <w:spacing w:after="0" w:line="10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Our employees' health, safety and well-being are our top priorities. We have maintained an unwavering commitment to supporting the health and well-being of our employees during the COVID-19 pandemic and we implemented an enterprise-wise response to ensure safety. We have implemented safety and sanitation measures to help ensure employees' health and well-being, embraced remote work for those who were able, and introduced enhanced sanitation, mask use and other protective equipment protocols and social distancing measures for our front-line employees.</w:t>
      </w:r>
    </w:p>
    <w:p>
      <w:pPr>
        <w:spacing w:after="0" w:line="4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addition, our Resources for Living program provides information, education tools and resources to help support our employees' physical, financial, social and emotional well-being. As part of this focus on well-being, we emphasize the need for our employees to embrace healthy lifestyles and we offer a variety of wellness education opportunities for our employees. We continue to modernize our workspaces and in 2022 announced a hybrid work policy to allow office-based employees to work remotely several days per week.</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Total Rewards</w:t>
      </w:r>
    </w:p>
    <w:p>
      <w:pPr>
        <w:spacing w:after="0" w:line="105"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We provide market-based competitive compensation through our salary, annual incentive and long-term incentive programs, and a robust benefits package that promotes the overall well-being of our employees. We provide a variety of resources and services to help our employees plan for retirement and provide a 401(k) plan with immediate vesting. We benchmark and establish compensation structures based on competitive market data. Individual pay is based on various factors such as an employee's role, experience, job location and contributions. Performance discussions for salaried employees are conducted throughout the year to assess contributions and inform individual development plans. We have enhanced our focus on the employee experience by highlighting key moments in the employment life-cycle and providing enhanced communications about our comprehensive offerings.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Websites</w:t>
      </w:r>
    </w:p>
    <w:p>
      <w:pPr>
        <w:spacing w:after="0" w:line="10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 xml:space="preserve">Our primary corporate website can be found at </w:t>
      </w:r>
      <w:r>
        <w:rPr>
          <w:rFonts w:ascii="Times New Roman" w:cs="Times New Roman" w:eastAsia="Times New Roman" w:hAnsi="Times New Roman"/>
          <w:sz w:val="17"/>
          <w:szCs w:val="17"/>
          <w:u w:val="single" w:color="auto"/>
          <w:color w:val="auto"/>
        </w:rPr>
        <w:t>www.campbellsoupcompany.com</w:t>
      </w:r>
      <w:r>
        <w:rPr>
          <w:rFonts w:ascii="Times New Roman" w:cs="Times New Roman" w:eastAsia="Times New Roman" w:hAnsi="Times New Roman"/>
          <w:sz w:val="17"/>
          <w:szCs w:val="17"/>
          <w:color w:val="auto"/>
        </w:rPr>
        <w:t>. We make available free of charge at the Investor portion of this website (under the "About Us—Investors—Financials—SEC Filings" caption) all of our reports (including amendments) filed or furnished pursuant to Section 13(a) or 15(d) of the Securities Exchange Act of 1934, as amended, including our annual reports on Form 10-K, our quarterly reports on Form 10-Q and our current reports on Form 8-K. These reports are made available on the website as soon as reasonably practicable after their filing with, or furnishing to, the Securities and Exchange Commission.</w:t>
      </w:r>
    </w:p>
    <w:p>
      <w:pPr>
        <w:spacing w:after="0" w:line="57"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All websites appearing in this Annual Report on Form 10-K are inactive textual references only, and the information in, or accessible through, such websites is not incorporated into this Annual Report on Form 10-K, or into any of our other filings with the Securities and Exchange Commission.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10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addition to the factors discussed elsewhere in this Report, the following risks and uncertainties could materially adversely affect our business, financial condition and results of operations. Although the risks are organized and described separately, many of the risks are interrelated. Additional risks and uncertainties not presently known to us or that we currently deem immaterial also may impair our business operations and financial condition.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Business and Operational Risks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not be able to increase prices to fully offset inflationary pressures on costs, such as raw and packaging materials, labor and distribution costs</w:t>
      </w:r>
    </w:p>
    <w:p>
      <w:pPr>
        <w:spacing w:after="0" w:line="105"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As a manufacturer of food and beverage products, we rely on plant labor, distribution resources and raw and packaging materials including tomato paste, grains, beef, poultry, dairy, vegetable oil, wheat, potatoes and other vegetables, steel, aluminum, glass, paper and resin. During 2022, we experienced significantly elevated commodity and supply chain costs including the costs of labor, raw materials, energy, fuel, packaging materials and other inputs necessary for the production and distribution of our products, and we expect elevated levels of inflation to continue in 2023. In addition, many of these materials are subject to price fluctuations from a number of factors, including but not limited to changes in crop size, cattle cycles, herd and flock disease, crop disease, crop pests, product scarcity, demand for raw materials, commodity market speculation, energy costs, currency fluctuations, supplier capacities, government-sponsored agricultural programs and other government policy, import and export requirements (including tariffs), drought and excessive rain, temperature extremes and other adverse weather events, water scarcity, scarcity of suitable agricultural land, scarcity of organic ingredients, pandemic illness (such as the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t>COVID-19 pandemic), armed hostilities (including the ongoing conflict between Russia and Ukraine) and other factors that may be beyond our control.</w:t>
      </w:r>
    </w:p>
    <w:p>
      <w:pPr>
        <w:spacing w:after="0" w:line="88"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We try to mitigate some or all cost increases through increases in the selling prices of, or decreases in the packaging sizes of, some of our products. Higher product prices or smaller packaging sizes may result in reductions in sales volume. Consumers may be less willing to pay a price differential for our branded products and may increasingly purchase lower-priced offerings, or may forego some purchases altogether, during an economic downturn or times of increased inflationary pressure. To the extent that price increases or packaging size decreases are not sufficient to offset these increased costs adequately or in a timely manner, and/or if they result in significant decreases in sales volume, our business results and financial condition may be adversely affected. Furthermore, we may not be able to fully offset any cost increases through productivity initiatives or through our commodity hedging activity.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Disruption to our supply chain could adversely affect our business</w:t>
      </w:r>
    </w:p>
    <w:p>
      <w:pPr>
        <w:spacing w:after="0" w:line="105"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Our ability to manufacture and/or sell our products may be impaired by damage or disruption to our manufacturing, warehousing or distribution capabilities, or to the capabilities of our suppliers, contract manufacturers, logistics service providers or independent distributors. This damage or disruption could result from execution issues, as well as factors that are hard to predict or beyond our control such as increased temperatures due to climate change, water stress, extreme weather events, natural disasters, product or raw material scarcity, fire, terrorism, pandemics (such as the COVID-19 pandemic), armed hostilities (including the ongoing conflict between Russia and Ukraine), strikes, labor shortages, cybersecurity breaches, government shutdowns, disruptions in logistics, supplier capacity constraints or other events. Commodity prices continue to be volatile and generally increased due to the COVID-19 pandemic, supply chain disruptions and labor</w:t>
      </w:r>
    </w:p>
    <w:p>
      <w:pPr>
        <w:spacing w:after="0" w:line="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and transportation shortages. Production of the agricultural commodities used in our business may also be adversely affected by drought and excessive rain, temperature extremes and other adverse weather events, water scarcity, scarcity of suitable agricultural land, scarcity of organic ingredients, crop size, cattle cycles, herd and flock disease, crop disease and crop pests. Failure to take adequate steps to mitigate the likelihood or potential impact of such events, or to effectively manage such events if they occur, may adversely affect our business or financial results, particularly in circumstances when a product is sourced from a single supplier or location. Disputes with significant suppliers, contract manufacturers, logistics service providers or independent distributors, including disputes regarding pricing or performance, may also adversely affect our ability to manufacture and/or sell our products, as well as our business or financial results.</w:t>
      </w:r>
    </w:p>
    <w:p>
      <w:pPr>
        <w:spacing w:after="0" w:line="48"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We have experienced temporary workforce disruptions in our supply chain as a result of the COVID-19 pandemic. We have implemented employee safety measures, which exceed guidance from the Centers for Disease Control and Prevention and World Health Organization, across all our supply chain facilities. Even with these measures, and the availability of vaccines, given the emergence and spread of COVID-19 variants, there is continued risk that COVID-19 may spread through our workforce. Illness, labor shortages, absenteeism, or other workforce disruptions could negatively affect our supply chain, manufacturing, distribution, or other business processes. We may face additional production disruptions in the future, which may place constraints on our ability to produce products in a timely manner or may increase our costs.</w:t>
      </w:r>
    </w:p>
    <w:p>
      <w:pPr>
        <w:spacing w:after="0" w:line="6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Short-term or sustained increases in consumer demand at our retail customers may exceed our production capacity or otherwise strain our supply chain. Our failure to meet the demand for our products could adversely affect our business and results of operations.</w:t>
      </w:r>
    </w:p>
    <w:p>
      <w:pPr>
        <w:spacing w:after="0" w:line="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The COVID-19 pandemic and related ongoing implications could adversely impact our business and results of operations</w:t>
      </w:r>
    </w:p>
    <w:p>
      <w:pPr>
        <w:spacing w:after="0" w:line="92"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The COVID-19 pandemic has had, and could continue to have, a negative impact on financial markets, economic conditions, and portions of our industry as a result of changes in consumer behavior, retailer inventory levels, cost inflation, manufacturing and supply chain disruption, vaccination rates and effectiveness, and overall macroeconomic conditions. Although our business has benefited from increased at-home consumption due to COVID-19, our ability to sustain heightened sales is dependent on consumer purchasing behavior. The continued availability and effectiveness of vaccines may partially mitigate the risks around the continued spread of COVID-19, however, with the spread of the COVID-19 variants, the ongoing implications of the COVID-19 pandemic could adversely impact our business and results of operations in a number of ways, including but not limited to:</w:t>
      </w:r>
    </w:p>
    <w:p>
      <w:pPr>
        <w:spacing w:after="0" w:line="61" w:lineRule="exact"/>
        <w:rPr>
          <w:sz w:val="20"/>
          <w:szCs w:val="20"/>
          <w:color w:val="auto"/>
        </w:rPr>
      </w:pPr>
    </w:p>
    <w:p>
      <w:pPr>
        <w:ind w:left="620" w:hanging="308"/>
        <w:spacing w:after="0" w:line="286"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shutdown of one or more of our manufacturing, warehousing or distribution facilities, or disruption in our supply chain, including but not limited to, as a result of illness, labor shortages, government restrictions or other workforce disruptions;</w:t>
      </w:r>
    </w:p>
    <w:p>
      <w:pPr>
        <w:spacing w:after="0" w:line="36"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third parties on which we rely, including but not limited to, those that supply our packaging, ingredients, equipment and other necessary operating materials, co-manufacturers and independent contractors, to meet their obligations to us, or significant disruptions in their ability to do so;</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7" w:name="page8"/>
    <w:bookmarkEnd w:id="7"/>
    <w:p>
      <w:pPr>
        <w:ind w:left="620" w:hanging="308"/>
        <w:spacing w:after="0" w:line="286"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strain on our supply chain, which could result from short-term or sustained changes and volatility in consumer purchasing and consumption patterns that increase demand at our retail customers and exceed our production capacity for our products;</w:t>
      </w:r>
    </w:p>
    <w:p>
      <w:pPr>
        <w:spacing w:after="0" w:line="2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volatility in commodity and other input costs, which may not be sufficiently offset by our commodity hedging activities;</w:t>
      </w:r>
    </w:p>
    <w:p>
      <w:pPr>
        <w:spacing w:after="0" w:line="100"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disruption to our distribution capabilities or to our distribution channels, including those of our suppliers, contract manufacturers, logistics service providers or independent distributors;</w:t>
      </w:r>
    </w:p>
    <w:p>
      <w:pPr>
        <w:spacing w:after="0" w:line="36"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or escalated government or regulatory responses in markets where we manufacture, sell or distribute our products, or in the markets of third parties on which we rely, could prevent or disrupt our business operations;</w:t>
      </w:r>
    </w:p>
    <w:p>
      <w:pPr>
        <w:spacing w:after="0" w:line="2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portion of our workforce, including our management team, could become unable to work as a result of illness, or the attention of our management team could be diverted if key employees become ill and become unable to work;</w:t>
      </w:r>
    </w:p>
    <w:p>
      <w:pPr>
        <w:spacing w:after="0" w:line="36"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demand for or availability of our products as a result of retailers, distributors, or carriers modifying their inventory, fulfillment or shipping practices;</w:t>
      </w:r>
    </w:p>
    <w:p>
      <w:pPr>
        <w:spacing w:after="0" w:line="36"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effectively modify our trade promotion and advertising activities to reflect changing consumer shopping habits due to, among other things, reduced in-store visits and travel restrictions;</w:t>
      </w:r>
    </w:p>
    <w:p>
      <w:pPr>
        <w:spacing w:after="0" w:line="2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shift in consumer spending during periods of economic uncertainty or inflation could result in consumers moving to private label or lower price products; and</w:t>
      </w:r>
    </w:p>
    <w:p>
      <w:pPr>
        <w:spacing w:after="0" w:line="36"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business disruptions and uncertainties related to the COVID-19 pandemic could result in additional delays or modifications to our strategic plans and other initiatives.</w:t>
      </w:r>
    </w:p>
    <w:p>
      <w:pPr>
        <w:spacing w:after="0" w:line="36"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These and other impacts of the COVID-19 pandemic could also have the effect of heightening many of the other risk factors included in this Item 1A. The ultimate impact depends on the severity and duration of the COVID-19 pandemic, including the emergence and spread of COVID-19 variants, the continued availability and effectiveness of vaccines and actions taken by governmental authorities and other third parties in response to the pandemic, each of which is uncertain, rapidly changing and difficult to predict. Any of these disruptions could adversely impact our business and results of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results of operations can be adversely affected by labor shortages, turnover and labor cost increases</w:t>
      </w:r>
    </w:p>
    <w:p>
      <w:pPr>
        <w:spacing w:after="0" w:line="105"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Labor is a primary component of operating our business. A number of factors may adversely affect the labor force available to us or increase labor costs, including high employment levels, federal unemployment subsidies, and other government regulations. During 2022, we observed an overall tightening and increasingly competitive labor market. A sustained labor shortage or increased turnover rates within our employee base, caused by the continued spread of COVID-19 or as a result of general macroeconomic factors, could lead to increased costs, such as increased overtime to meet demand and increased wage rates to attract and retain employees, and could negatively affect our ability to efficiently operate our manufacturing and distribution facilities and overall business. If we are unable to hire and retain employees capable of performing at a high-level, or if mitigation measures we may take to respond to a decrease in labor availability, such as overtime and third-party outsourcing, have unintended negative effects, our business could be adversely affected. In addition, we distribute our products and receive raw materials primarily by truck. Reduced availability of trucking capacity due to shortages of drivers has caused an increase in the cost of transportation for us and our suppliers. An overall labor shortage, lack of skilled labor, increased turnover or labor inflation, caused by COVID-19 or as a result of general macroeconomic factors, could have a material adverse impact on the company’s operations, results of operations, liquidity or cash flows.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intellectual property rights are valuable, and any inability to protect them could reduce the value of our products and brands</w:t>
      </w:r>
    </w:p>
    <w:p>
      <w:pPr>
        <w:spacing w:after="0" w:line="92"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consider our intellectual property rights, particularly our trademarks, to be a significant and valuable aspect of our business. We protect our intellectual property rights through a combination of trademark, patent, copyright and trade secret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w:t>
      </w:r>
    </w:p>
    <w:p>
      <w:pPr>
        <w:spacing w:after="0" w:line="5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Competing intellectual property claims that impact our brands or products may arise unexpectedly. Any litigation or disputes regarding intellectual property may be costly and time-consuming and may divert the attention of our management and key personnel from our business operations. We also may be subject to significant damages or injunctions against development, launch and sale of certain products. Any of these occurrences may harm our business and financial results.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Our results may be adversely impacted if consumers do not maintain their favorable perception of our brands</w:t>
      </w:r>
    </w:p>
    <w:p>
      <w:pPr>
        <w:spacing w:after="0" w:line="92"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We have a number of iconic brands with significant value. Maintaining and continually enhancing the value of these brands is critical to the success of our business. Brand value is primarily based on consumer perceptions. Success in promoting and enhancing brand value depends in large part on our ability to provide high-quality products. Brand value could diminish significantly due to a number of factors, including consumer perception that we have acted in an irresponsible manner, adverse publicity about our products, packaging or ingredients (whether or not valid), our failure to maintain the quality of our products, the failure of our products to deliver consistently positive consumer experiences, or the products becoming unavailable to consumers. The growing use of social and digital media by consumers increases the speed and extent that information and opinions can be shared. Negative posts or comments about us, our brands, products or packaging on social or digital media could seriously damage our brands and reputation. If we do not maintain the favorable perception of our brands, our results could be adversely impacted.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be adversely impacted by a disruption, failure or security breach of our information technology systems</w:t>
      </w:r>
    </w:p>
    <w:p>
      <w:pPr>
        <w:spacing w:after="0" w:line="105"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Our information technology systems are critically important to our operations. We rely on our information technology systems (some of which are outsourced to third parties) to manage our data, communications and business processes, including our marketing, sales, manufacturing, procurement, logistics, customer service, accounting and administrative functions and the importance of such networks and systems has increased due to an increase in our employees working remotely. If we do not obtain and effectively manage the resources and materials necessary to build, sustain and protect appropriate information technology systems, our business or financial results could be adversely impacted. Furthermore, our information technology systems are subject to attack or other security breaches (including the access to or acquisition of customer, consumer, employee or other confidential information), service disruptions or other system failures. If we are unable to prevent or adequately respond to and resolve these breaches, disruptions or failures, our operations may be impacted, and we may suffer other adverse consequences such as reputational damage, litigation, remediation costs, ransomware payments and/or penalties under various data protection laws and regulations.</w:t>
      </w:r>
    </w:p>
    <w:p>
      <w:pPr>
        <w:spacing w:after="0" w:line="257"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To address the risks to our information technology systems and the associated costs, we maintain an information security program that includes updating technology and security policies, cyber insurance, employee awareness training, and monitoring and routine testing of our information technology systems. We believe that these preventative actions provide adequate measures of protection against security breaches and generally reduce our cybersecurity risks, however, cyber threats are constantly evolving, are becoming more frequent and more sophisticated and are being made by groups of individuals with a wide range of expertise and motives, which increases the difficulty of detecting and successfully defending against them. Additionally, continued geopolitical turmoil, including the ongoing conflict between Russia and Ukraine, has heightened the risk of cyberattacks. We have experienced threats to our data and systems and although we have not experienced a material incident to date, there can be no assurance that these measures will prevent or limit the impact of a future incident. We may incur significant costs in protecting against or remediating cyberattacks or other cyber incidents.</w:t>
      </w:r>
    </w:p>
    <w:p>
      <w:pPr>
        <w:spacing w:after="0" w:line="64"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In addition, in the event our suppliers or customers experience a breach or system failure, their businesses could be disrupted or otherwise negatively affected, which may result in a disruption in our supply chain or reduced customer orders, which would adversely affect our business and financial results. We have also outsourced several information technology support services and administrative functions to third-party service providers, and may outsource other functions in the future to achieve cost savings and efficiencies. Our information security program includes capabilities designed to evaluate and mitigate cyber risks arising from third-party service providers. We believe that these capabilities provide insights and visibility to the security posture of our third-party service providers, however, cyber threats to those organizations are beyond our control. If these service providers do not perform effectively due to breach or system failure, we may not be able to achieve the expected benefits and our business may be disrupted.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not be able to attract and retain the highly skilled people we need to support our business</w:t>
      </w:r>
    </w:p>
    <w:p>
      <w:pPr>
        <w:spacing w:after="0" w:line="92"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We depend on the skills and continued service of key personnel, including our experienced management team. In addition, our ability to achieve our strategic and operating goals depends on our ability to identify, hire, train and retain qualified individuals. We also compete with other companies both within and outside of our industry for talented personnel, and we may lose key personnel or fail to attract, train and retain other talented personnel. Any such loss or failure may adversely affect our business or financial results. In addition, activities related to identifying, recruiting, hiring and integrating qualified individuals may require significant time and expense. We may not be able to locate suitable replacements for any key employees who leave, or offer employment to potential replacements on reasonable terms, each of which may adversely affect our business and financial results.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we do not fully realize the expected cost savings and/or operating efficiencies associated with our strategic initiatives, our profitability could suffer</w:t>
      </w:r>
    </w:p>
    <w:p>
      <w:pPr>
        <w:spacing w:after="0" w:line="105"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Our future success and earnings growth depend in part on our ability to achieve the appropriate cost structure and operate efficiently in the highly competitive food industry, particularly in an environment of volatile cost inputs. We continuously</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7"/>
          <w:szCs w:val="17"/>
          <w:color w:val="auto"/>
        </w:rPr>
        <w:t>pursue initiatives to reduce costs and increase effectiveness. See "Management's Discussion and Analysis of Financial Condition and Results of Operations - Restructuring Charges and Cost Savings Initiatives" for additional information on these initiatives. We also regularly pursue cost productivity initiatives in procurement, manufacturing and logistics. Any failure or delay in implementing our initiatives in accordance with our plans could adversely affect our ability to meet our long-term growth and profitability expectations and could adversely affect our business. If we do not continue to effectively manage costs and achieve additional efficiencies, our competitiveness and our profitability could decrease.</w:t>
      </w:r>
    </w:p>
    <w:p>
      <w:pPr>
        <w:spacing w:after="0" w:line="4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color w:val="auto"/>
        </w:rPr>
        <w:t>Our results may be adversely affected by our inability to complete or realize the projected benefits of acquisitions, divestitures and other strategic transactions</w:t>
      </w:r>
    </w:p>
    <w:p>
      <w:pPr>
        <w:spacing w:after="0" w:line="32"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have historically made strategic acquisitions of brands and businesses and we may undertake additional acquisitions or other strategic transactions in the future. Our ability to meet our objectives with respect to acquisitions and other strategic transactions may depend in part on our ability to identify suitable counterparties, negotiate favorable financial and other contractual terms, obtain all necessary regulatory approvals on the terms expected and complete those transactions. Potential risks also include:</w:t>
      </w:r>
    </w:p>
    <w:p>
      <w:pPr>
        <w:spacing w:after="0" w:line="54" w:lineRule="exact"/>
        <w:rPr>
          <w:sz w:val="20"/>
          <w:szCs w:val="20"/>
          <w:color w:val="auto"/>
        </w:rPr>
      </w:pPr>
    </w:p>
    <w:p>
      <w:pPr>
        <w:ind w:left="620" w:right="280" w:hanging="308"/>
        <w:spacing w:after="0" w:line="286"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integrate acquired businesses into our existing operations in a timely and cost-efficient manner, including implementation of enterprise-resource planning systems;</w:t>
      </w:r>
    </w:p>
    <w:p>
      <w:pPr>
        <w:spacing w:after="0" w:line="2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management's attention from other business concerns;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loss of key employees, suppliers and/or customers of acquired businesses;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assumption of unknown risks and liabilities;</w:t>
      </w:r>
    </w:p>
    <w:p>
      <w:pPr>
        <w:spacing w:after="0" w:line="8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achieve anticipated benefits, including revenues or other operating results;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costs of acquired businesses may be greater than expected;</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promptly implement an effective control environment; and</w:t>
      </w:r>
    </w:p>
    <w:p>
      <w:pPr>
        <w:spacing w:after="0" w:line="8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inherent in entering markets or lines of business with which we have limited or no prior experience.</w:t>
      </w:r>
    </w:p>
    <w:p>
      <w:pPr>
        <w:spacing w:after="0" w:line="19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addition, we have previously made strategic divestitures and may do so in the future. Any businesses we decide to divest in the future may depend in part on our ability to identify suitable buyers, negotiate favorable financial and other contractual terms and obtain all necessary regulatory approvals on the terms expected. Potential risks of divestitures may also include:</w:t>
      </w:r>
    </w:p>
    <w:p>
      <w:pPr>
        <w:spacing w:after="0" w:line="51" w:lineRule="exact"/>
        <w:rPr>
          <w:sz w:val="20"/>
          <w:szCs w:val="20"/>
          <w:color w:val="auto"/>
        </w:rPr>
      </w:pPr>
    </w:p>
    <w:p>
      <w:pPr>
        <w:ind w:left="620" w:hanging="308"/>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management's attention from other business concerns;</w:t>
      </w:r>
    </w:p>
    <w:p>
      <w:pPr>
        <w:spacing w:after="0" w:line="8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suppliers and/or customers of divested businesses;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separate divested businesses or business units effectively and efficiently from our existing business operations; and</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reduce or eliminate associated overhead costs.</w:t>
      </w:r>
    </w:p>
    <w:p>
      <w:pPr>
        <w:spacing w:after="0" w:line="88"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If we are unable to complete or realize the projected benefits of future acquisitions, divestitures or other strategic transactions, our business or financial results may be adversely impacted.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Competitive and Industry Risks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face significant competition in all our product categories, which may result in lower sales and margins</w:t>
      </w:r>
    </w:p>
    <w:p>
      <w:pPr>
        <w:spacing w:after="0" w:line="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We operate in the highly competitive food and beverage industry mainly in the North American market and experience competition in all of our categories. The principal areas of competition are brand recognition, taste, nutritional value, price, promotion, innovation, shelf space and customer service. A number of our primary competitors are larger than us and have substantial financial, marketing and other resources, and some of our competitors may spend more aggressively on advertising and promotional activities than we do. In addition, reduced barriers to entry and easier access to funding are creating new competition. A strong competitive response from one or more of these competitors to our marketplace efforts, or a continued shift towards private label offerings, particularly during periods of economic uncertainty or significant inflation, could result in us reducing prices, increasing marketing or other expenditures, and/or losing market share, each of which may result in lower sales and margins.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10" w:name="page11"/>
    <w:bookmarkEnd w:id="10"/>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Our ability to compete also depends upon our ability to predict, identify, and interpret the tastes and dietary habits of consumers and to offer products that appeal to those preferences. There are inherent marketplace risks associated with new product or packaging introductions, including uncertainties about trade and consumer acceptance. If we do not succeed in offering products that consumers want to buy, our sales and market share will decrease, resulting in reduced profitability. If we are unable to accurately predict which shifts in consumer preferences will be long-lasting, or are unable to introduce new and improved products to satisfy those preferences, our sales will decline. Weak economic conditions, recessions, significant inflation and other factors, such as pandemics, could effect consumer preferences and demand. In addition, given the variety of backgrounds and identities of consumers in our consumer base, we must offer a sufficient array of products to satisfy the broad spectrum of consumer preferences. As such, we must be successful in developing innovative products across a multitude of product categories. In addition, the COVID-19 pandemic has altered, and in some cases, delayed product innovation efforts. Finally, if we fail to rapidly develop products in faster-growing and more profitable categories, we could experience reduced demand for our products, or fail to expand margins.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be adversely impacted by a changing customer landscape and the increased significance of some of our customers</w:t>
      </w:r>
    </w:p>
    <w:p>
      <w:pPr>
        <w:spacing w:after="0" w:line="105"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Our businesses are largely concentrated in the traditional retail grocery trade, which has experienced slower growth than other retail channels, such as dollar stores, drug stores, club stores and e-commerce retailers. We expect this trend away from traditional retail grocery to alternate channels to continue in the future. These alternative retail channels may also create consumer price deflation, affecting our retail customer relationships and presenting additional challenges to increasing prices in response to commodity or other cost increases. In addition, retailers with increased buying power and negotiating strength are seeking more favorable terms, including increased promotional programs and customized products funded by their suppliers. These customers may also use more of their shelf space for their private label products, which are generally sold at lower prices than branded products. If we are unable to use our scale, marketing, product innovation and category leadership positions to respond to these customer dynamics, our business or financial results could be adversely impacted.</w:t>
      </w:r>
    </w:p>
    <w:p>
      <w:pPr>
        <w:spacing w:after="0" w:line="6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2022, our five largest customers accounted for approximately 47% of our consolidated net sales from continuing operations, with the largest customer, Wal-Mart Stores, Inc. and its affiliates, accounting for approximately 22% of our consolidated net sales from continuing operations. There can be no assurance that our largest customers will continue to purchase our products in the same mix or quantities, or on the same terms as in the past. Disruption of sales to any of these customers, or to any of our other large customers, for an extended period of time could adversely affect our business or financial results.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Financial and Economic Risks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 impairment of the carrying value of goodwill or other indefinite-lived intangible assets could adversely affect our financial results and net worth</w:t>
      </w:r>
    </w:p>
    <w:p>
      <w:pPr>
        <w:spacing w:after="0" w:line="105"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As of July 31, 2022, we had goodwill of $3.979 billion and other indefinite-lived intangible assets of $2.549 billion. Goodwill and indefinite-lived intangible assets are initially recorded at fair value and not amortized, but are tested for impairment at least annually in the fourth quarter or more frequently if impairment indicators arise. We test goodwill at the reporting unit level by comparing the carrying value of the net assets of the reporting unit, including goodwill, to the unit's fair value. Similarly, we test indefinite-lived intangible assets by comparing the fair value of the assets to their carrying values. Fair value for both goodwill and other indefinite-lived intangible assets is determined based on a discounted cash flow analysis. If the carrying values of the reporting unit or indefinite-lived intangible assets exceed their fair value, the goodwill or indefinite-lived intangible assets are considered impaired. Factors that could result in an impairment include a change in revenue growth rates, operating margins, weighted average cost of capital, future economic and market conditions or assumed royalty rates. If current expectations for growth rates for sales and profits are not met, or other market factors and macroeconomic conditions that could be affected by the COVID-19 pandemic or otherwise were to change, we may be required in the future to record impairment of the carrying value of goodwill or other indefinite-lived intangible assets, which could adversely affect our financial results and net worth.</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be adversely impacted by increased liabilities and costs related to our defined benefit pension plans</w:t>
      </w:r>
    </w:p>
    <w:p>
      <w:pPr>
        <w:spacing w:after="0" w:line="10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sponsor a number of defined benefit pension plans for certain employees in the U.S. and certain non-U.S. locations. The major defined benefit pension plans are funded with trust assets invested in a globally diversified portfolio of securities and other investments. Changes in regulatory requirements or the market value of plan assets, investment returns, interest rates and mortality rates may affect the funded status of our defined benefit pension plans and cause volatility in the net periodic benefit cost, future funding requirements of the plans and the funded status as recorded on the balance sheet. A significant increase in our obligations, future funding requirements, or net periodic benefit costs could have a material adverse effect on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We face risks related to heightened inflation, recession, financial and credit market disruptions and other economic conditions</w:t>
      </w:r>
    </w:p>
    <w:p>
      <w:pPr>
        <w:spacing w:after="0" w:line="92"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Customer and consumer demand for our products may be impacted by weak economic conditions, recession, equity market volatility or other negative economic factors in the U.S. or other nations. For instance in 2022, the U.S. experienced significantly heightened inflationary pressures which we expect to continue into 2023. We may not be able to fully mitigate the impact of inflation through price increases, productivity initiatives and cost savings, which could have a material adverse effect on our financial results. In addition, if the U.S. economy enters a recession in 2023, we may experience sales declines and may have to decrease prices, all of which could have a material adverse impact on our financial results.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Similarly, disruptions in financial and/or credit markets may impact our ability to manage normal commercial relationships with our customers, suppliers and</w:t>
      </w:r>
    </w:p>
    <w:p>
      <w:pPr>
        <w:spacing w:after="0" w:line="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creditors and might cause us to not be able to continue to have access to preferred sources of liquidity when needed or on terms we find acceptable, and our borrowing costs could increase. An economic or credit crisis could occur and impair credit availability and our ability to raise capital when needed. A disruption in the financial markets may have a negative effect on our derivative counterparties and could impair our banking or other business partners, on whom we rely for access to capital and as counterparties to our derivative contracts. In addition, changes in tax or interest rates in the U.S. or other nations, whether due to recession, economic disruptions or other reasons, may adversely impact us.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Legal and Regulatory Risks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be adversely impacted by legal and regulatory proceedings or claims</w:t>
      </w:r>
    </w:p>
    <w:p>
      <w:pPr>
        <w:spacing w:after="0" w:line="105"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We are a party to a variety of legal and regulatory proceedings and claims arising out of the normal course of business. See Note 18 to the Consolidated Financial Statements for information regarding reportable legal proceedings. Since these actions are inherently uncertain, there is no guarantee that we will be successful in defending ourselves against such proceedings or claims, or that our assessment of the materiality or immateriality of these matters, including any reserves taken in connection with such matters, will be consistent with the ultimate outcome of such proceedings or claims. In particular, the marketing of food products has come under increased scrutiny in recent years, and the food industry has been subject to an increasing number of proceedings and claims relating to alleged false or deceptive marketing under federal, state and foreign laws or regulations, including claims relating to the presence of heavy metals in food products. Additionally, the independent contractor distribution model, which is used in our Snacks segment, has also come under increased regulatory scrutiny. Our independent contractor distribution model has also been the subject of various class and individual lawsuits in recent years. In the event we are unable to successfully defend ourselves against these proceedings or claims, or if our assessment of the materiality of these proceedings or claims proves inaccurate, our business or financial results may be adversely affected. In addition, our reputation could be damaged by allegations made in proceedings or claims (even if untrue).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Increased regulation or changes in law could adversely affect our business or financial results</w:t>
      </w:r>
    </w:p>
    <w:p>
      <w:pPr>
        <w:spacing w:after="0" w:line="92"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The manufacture and marketing of food products is extensively regulated. Various laws and regulations govern the processing, packaging, storage, distribution, marketing, advertising, labeling, quality and safety of our food products, as well as the health and safety of our employees and the protection of the environment. In the U.S., we are subject to regulation by various federal government agencies, including but not limited to the Food and Drug Administration, the Department of Agriculture, the Federal Trade Commission, the Department of Labor, the Department of Commerce, the Occupational Safety and Health Administration and the Environmental Protection Agency, as well as various state and local agencies. We are also regulated by similar agencies outside the U.S.</w:t>
      </w:r>
    </w:p>
    <w:p>
      <w:pPr>
        <w:spacing w:after="0" w:line="57"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Governmental and administrative bodies within the U.S. are considering a variety of tax, trade and other regulatory reforms. Trade reforms include tariffs on certain materials used in the manufacture of our products and tariffs on certain finished products. We regularly move data across national and state borders to conduct our operations and, consequently, are subject to a variety of laws and regulations in the U.S. and other jurisdictions regarding privacy, data protection, and data security, including those related to the collection, storage, handling, use, disclosure, transfer, and security of personal data. There is significant uncertainty with respect to compliance with such privacy and data protection laws and regulations because they are continuously evolving and developing and may be interpreted and applied differently from country to country and state to state and may create inconsistent or conflicting requirements.</w:t>
      </w:r>
    </w:p>
    <w:p>
      <w:pPr>
        <w:spacing w:after="0" w:line="6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Changes in legal or regulatory requirements (such as new food safety requirements and revised regulatory requirements for the labeling of nutrition facts, serving sizes and genetically modified ingredients), or evolving interpretations of existing legal or regulatory requirements, may result in increased compliance cost, capital expenditures and other financial obligations that could adversely affect our business and financial results.</w:t>
      </w:r>
    </w:p>
    <w:p>
      <w:pPr>
        <w:spacing w:after="0" w:line="3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color w:val="auto"/>
        </w:rPr>
        <w:t>If our food products become adulterated or are mislabeled, we might need to recall those items, and we may experience product liability claims and damage to our reputation</w:t>
      </w:r>
    </w:p>
    <w:p>
      <w:pPr>
        <w:spacing w:after="0" w:line="19"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have in the past and we may, in the future, need to recall some of our products if they become adulterated or if they are mislabeled, and we may also be liable if the consumption of any of our products causes sickness or injury to consumers. A</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7"/>
          <w:szCs w:val="17"/>
          <w:color w:val="auto"/>
        </w:rPr>
        <w:t>widespread product recall could result in significant losses due to the costs of a recall, the destruction of product inventory, and lost sales due to the unavailability of product for a period of time. We could also suffer losses from a significant adverse product liability judgment. A significant product recall or product liability claim could also result in adverse publicity, damage to our reputation, and a loss of consumer confidence in the safety and/or quality of our products, ingredients or packaging. In addition, if another company recalls or experiences negative publicity related to a product in a category in which we compete, consumers might reduce their overall consumption of products in that category.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Climate change, or legal, regulatory or market measures to address climate change, may negatively affect our business and operations</w:t>
      </w:r>
    </w:p>
    <w:p>
      <w:pPr>
        <w:spacing w:after="0" w:line="105"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There is growing concern that carbon dioxide and other greenhouse gases in the atmosphere may have an adverse impact on global temperatures, weather patterns, and the frequency and severity of extreme weather and natural disasters. In the event that such climate change has a negative effect on agricultural productivity, we may be subject to decreased availability or less favorable pricing for certain commodities that are necessary for our products, such as wheat, tomatoes, potatoes, cashews and almonds. Adverse weather conditions and natural disasters can reduce crop size and crop quality, which in turn could reduce our supplies of raw materials, lower recoveries of usable raw materials, increase the prices of our raw materials, increase our cost of storing and transporting our raw materials, or disrupt production schedules. We may also be subjected to decreased availability or less favorable pricing for water as a result of such change, which could impact our manufacturing and distribution operations. In addition, natural disasters and extreme weather conditions may disrupt the productivity of our facilities or the operation of our supply chain.</w:t>
      </w:r>
    </w:p>
    <w:p>
      <w:pPr>
        <w:spacing w:after="0" w:line="64"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There is an increased focus by foreign, federal, state and local regulatory and legislative bodies regarding environmental policies relating to climate change, regulating greenhouse gas emissions, energy policies, and sustainability. Increased compliance costs and expenses due to the impacts of climate change and additional legal or regulatory requirements regarding climate change or designed to reduce or mitigate the effects of carbon dioxide and other greenhouse gas emissions on the environment may cause disruptions in, or an increase in the costs associated with, the running of our manufacturing facilities and our business, as well as increase distribution and supply chain costs. Moreover, compliance with any such legal or regulatory requirements may require us to make significant changes in our business operations and strategy, which will likely require us to devote substantial time and attention to these matters and cause us to incur additional costs. Even if we make changes to align ourselves with such legal or regulatory requirements, we may still be subject to significant penalties or potential litigation if such laws and regulations are interpreted and applied in a manner inconsistent with our practices. The effects of climate change and legal or regulatory initiatives to address climate change could have a long-term adverse impact on our business and results of operations.</w:t>
      </w:r>
    </w:p>
    <w:p>
      <w:pPr>
        <w:spacing w:after="0" w:line="48"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Additionally, we might fail to effectively address increased attention from the media, stockholders, activists and other stakeholders on climate change and related environmental sustainability matters. Such failure, or the perception that we have failed to act responsibly regarding climate change, whether or not valid, could result in adverse publicity and negatively affect our business and reputation. Moreover, from time to time we establish and publicly announce goals and commitments, including to reduce our impact on the environment. For example, in 2022, we established science-based targets for Scope 1, 2 and 3 greenhouse gas emissions. Our ability to achieve any stated goal, target or objective is subject to numerous factors and conditions, many of which are outside of our control. Examples of such factors include evolving regulatory requirements affecting sustainability standards or disclosures or imposing different requirements, the pace of changes in technology, the availability of requisite financing and the availability of suppliers that can meet our sustainability and other standards. If we fail to achieve, or are perceived to have failed or been delayed in achieving, or improperly report our progress toward achieving these goals and commitments, it could negatively affect consumer preference for our products or investor confidence in our stock, as well as expose us to enforcement actions and litigation.</w:t>
      </w:r>
    </w:p>
    <w:p>
      <w:pPr>
        <w:spacing w:after="0" w:line="5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color w:val="auto"/>
        </w:rPr>
        <w:t>Actions of activist shareholders could cause us to incur substantial costs, divert management's attention and resources and have an adverse effect on our business</w:t>
      </w:r>
    </w:p>
    <w:p>
      <w:pPr>
        <w:spacing w:after="0" w:line="32"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were the target of activist shareholder activities in 2019. If a new activist investor purchased our stock, our business could be adversely affected because responding to proxy contests and reacting to other actions by activist shareholders can be costly and time consuming, disruptive to our operations and divert the attention of management and our employees. In addition, perceived uncertainties as to our future direction, strategy or leadership created as a consequence of activist shareholder initiatives may result in the loss of potential business opportunities, harm our ability to attract new investors, customers, employees, suppliers and strategic partners, and cause our share price to experience periods of volatility or stagnation.</w:t>
      </w:r>
    </w:p>
    <w:p>
      <w:pPr>
        <w:spacing w:after="0" w:line="4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color w:val="auto"/>
        </w:rPr>
        <w:t>Our business, financial condition and results of operations could be adversely affected by disruptions in the global economy caused by the ongoing conflict between Russia and Ukraine.</w:t>
      </w:r>
    </w:p>
    <w:p>
      <w:pPr>
        <w:spacing w:after="0" w:line="32"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 global economy has been negatively impacted by the military conflict between Russia and Ukraine. Furthermore, governments in the U.S., United Kingdom, and European Union have each imposed export controls on certain products and financial and economic sanctions on certain industry sectors and parties in Russia. Although we have no operations in Russia or</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7"/>
          <w:szCs w:val="17"/>
          <w:color w:val="auto"/>
        </w:rPr>
        <w:t>Ukraine, we have experienced shortages in materials and increased costs for transportation, energy, and raw material due in part to the negative impact of the Russia-Ukraine military conflict on the global economy. The scope and duration of the military conflict in Ukraine is uncertain, rapidly changing and hard to predict. Further escalation of geopolitical tensions related to the military conflict, including increased trade barriers or restrictions on global trade, could result in, among other things, cyberattacks, supply disruptions, lower consumer demand, and changes to foreign exchange rates and financial markets, any of which may adversely affect our business and supply chain.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1B. </w:t>
      </w:r>
      <w:r>
        <w:rPr>
          <w:rFonts w:ascii="Times New Roman" w:cs="Times New Roman" w:eastAsia="Times New Roman" w:hAnsi="Times New Roman"/>
          <w:sz w:val="17"/>
          <w:szCs w:val="17"/>
          <w:b w:val="1"/>
          <w:bCs w:val="1"/>
          <w:i w:val="1"/>
          <w:iCs w:val="1"/>
          <w:color w:val="auto"/>
        </w:rPr>
        <w:t>Unresolved Staff Comments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Properties</w:t>
      </w:r>
    </w:p>
    <w:p>
      <w:pPr>
        <w:spacing w:after="0" w:line="9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Our principal executive offices are company-owned and located in Camden, New Jersey. The following table sets forth our principal manufacturing facilities and the reportable segment that primarily uses each of the facilities: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Inside the U.S.</w:t>
            </w:r>
          </w:p>
        </w:tc>
        <w:tc>
          <w:tcPr>
            <w:tcW w:w="328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41"/>
        </w:trPr>
        <w:tc>
          <w:tcPr>
            <w:tcW w:w="31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i w:val="1"/>
                <w:iCs w:val="1"/>
                <w:color w:val="auto"/>
              </w:rPr>
              <w:t>Arizona</w:t>
            </w:r>
          </w:p>
        </w:tc>
        <w:tc>
          <w:tcPr>
            <w:tcW w:w="3280" w:type="dxa"/>
            <w:vAlign w:val="bottom"/>
          </w:tcPr>
          <w:p>
            <w:pPr>
              <w:ind w:left="860"/>
              <w:spacing w:after="0"/>
              <w:rPr>
                <w:sz w:val="20"/>
                <w:szCs w:val="20"/>
                <w:color w:val="auto"/>
              </w:rPr>
            </w:pPr>
            <w:r>
              <w:rPr>
                <w:rFonts w:ascii="Times New Roman" w:cs="Times New Roman" w:eastAsia="Times New Roman" w:hAnsi="Times New Roman"/>
                <w:sz w:val="17"/>
                <w:szCs w:val="17"/>
                <w:b w:val="1"/>
                <w:bCs w:val="1"/>
                <w:i w:val="1"/>
                <w:iCs w:val="1"/>
                <w:color w:val="auto"/>
              </w:rPr>
              <w:t>Massachusetts</w:t>
            </w:r>
          </w:p>
        </w:tc>
        <w:tc>
          <w:tcPr>
            <w:tcW w:w="2580" w:type="dxa"/>
            <w:vAlign w:val="bottom"/>
          </w:tcPr>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Pennsylvania</w:t>
            </w:r>
          </w:p>
        </w:tc>
      </w:tr>
      <w:tr>
        <w:trPr>
          <w:trHeight w:val="213"/>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Goodyear (S)</w:t>
            </w:r>
          </w:p>
        </w:tc>
        <w:tc>
          <w:tcPr>
            <w:tcW w:w="32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Hyannis (S)</w:t>
            </w:r>
          </w:p>
        </w:tc>
        <w:tc>
          <w:tcPr>
            <w:tcW w:w="258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Denver (S)</w:t>
            </w:r>
          </w:p>
        </w:tc>
      </w:tr>
      <w:tr>
        <w:trPr>
          <w:trHeight w:val="225"/>
        </w:trPr>
        <w:tc>
          <w:tcPr>
            <w:tcW w:w="31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i w:val="1"/>
                <w:iCs w:val="1"/>
                <w:color w:val="auto"/>
              </w:rPr>
              <w:t>California</w:t>
            </w:r>
          </w:p>
        </w:tc>
        <w:tc>
          <w:tcPr>
            <w:tcW w:w="3280" w:type="dxa"/>
            <w:vAlign w:val="bottom"/>
          </w:tcPr>
          <w:p>
            <w:pPr>
              <w:ind w:left="860"/>
              <w:spacing w:after="0"/>
              <w:rPr>
                <w:sz w:val="20"/>
                <w:szCs w:val="20"/>
                <w:color w:val="auto"/>
              </w:rPr>
            </w:pPr>
            <w:r>
              <w:rPr>
                <w:rFonts w:ascii="Times New Roman" w:cs="Times New Roman" w:eastAsia="Times New Roman" w:hAnsi="Times New Roman"/>
                <w:sz w:val="17"/>
                <w:szCs w:val="17"/>
                <w:b w:val="1"/>
                <w:bCs w:val="1"/>
                <w:i w:val="1"/>
                <w:iCs w:val="1"/>
                <w:color w:val="auto"/>
              </w:rPr>
              <w:t>North Carolina</w:t>
            </w:r>
          </w:p>
        </w:tc>
        <w:tc>
          <w:tcPr>
            <w:tcW w:w="2580" w:type="dxa"/>
            <w:vAlign w:val="bottom"/>
          </w:tcPr>
          <w:p>
            <w:pPr>
              <w:ind w:left="1340"/>
              <w:spacing w:after="0"/>
              <w:rPr>
                <w:sz w:val="20"/>
                <w:szCs w:val="20"/>
                <w:color w:val="auto"/>
              </w:rPr>
            </w:pPr>
            <w:r>
              <w:rPr>
                <w:rFonts w:ascii="Times New Roman" w:cs="Times New Roman" w:eastAsia="Times New Roman" w:hAnsi="Times New Roman"/>
                <w:sz w:val="17"/>
                <w:szCs w:val="17"/>
                <w:color w:val="auto"/>
                <w:w w:val="99"/>
              </w:rPr>
              <w:t>Downingtown (S)</w:t>
            </w:r>
          </w:p>
        </w:tc>
      </w:tr>
      <w:tr>
        <w:trPr>
          <w:trHeight w:val="213"/>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Dixon (MB)</w:t>
            </w:r>
          </w:p>
        </w:tc>
        <w:tc>
          <w:tcPr>
            <w:tcW w:w="32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Charlotte (S)</w:t>
            </w:r>
          </w:p>
        </w:tc>
        <w:tc>
          <w:tcPr>
            <w:tcW w:w="258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Hanover (S)</w:t>
            </w:r>
          </w:p>
        </w:tc>
      </w:tr>
      <w:tr>
        <w:trPr>
          <w:trHeight w:val="219"/>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Stockton (MB)</w:t>
            </w:r>
          </w:p>
        </w:tc>
        <w:tc>
          <w:tcPr>
            <w:tcW w:w="32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Maxton (MB)</w:t>
            </w:r>
          </w:p>
        </w:tc>
        <w:tc>
          <w:tcPr>
            <w:tcW w:w="2580" w:type="dxa"/>
            <w:vAlign w:val="bottom"/>
          </w:tcPr>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Texas</w:t>
            </w:r>
          </w:p>
        </w:tc>
      </w:tr>
      <w:tr>
        <w:trPr>
          <w:trHeight w:val="219"/>
        </w:trPr>
        <w:tc>
          <w:tcPr>
            <w:tcW w:w="31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i w:val="1"/>
                <w:iCs w:val="1"/>
                <w:color w:val="auto"/>
              </w:rPr>
              <w:t>Connecticut</w:t>
            </w:r>
          </w:p>
        </w:tc>
        <w:tc>
          <w:tcPr>
            <w:tcW w:w="3280" w:type="dxa"/>
            <w:vAlign w:val="bottom"/>
          </w:tcPr>
          <w:p>
            <w:pPr>
              <w:ind w:left="860"/>
              <w:spacing w:after="0"/>
              <w:rPr>
                <w:sz w:val="20"/>
                <w:szCs w:val="20"/>
                <w:color w:val="auto"/>
              </w:rPr>
            </w:pPr>
            <w:r>
              <w:rPr>
                <w:rFonts w:ascii="Times New Roman" w:cs="Times New Roman" w:eastAsia="Times New Roman" w:hAnsi="Times New Roman"/>
                <w:sz w:val="17"/>
                <w:szCs w:val="17"/>
                <w:b w:val="1"/>
                <w:bCs w:val="1"/>
                <w:i w:val="1"/>
                <w:iCs w:val="1"/>
                <w:color w:val="auto"/>
              </w:rPr>
              <w:t>Ohio</w:t>
            </w:r>
          </w:p>
        </w:tc>
        <w:tc>
          <w:tcPr>
            <w:tcW w:w="258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Paris (MB)</w:t>
            </w:r>
          </w:p>
        </w:tc>
      </w:tr>
      <w:tr>
        <w:trPr>
          <w:trHeight w:val="219"/>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Bloomfield (S)</w:t>
            </w:r>
          </w:p>
        </w:tc>
        <w:tc>
          <w:tcPr>
            <w:tcW w:w="32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Ashland (S)</w:t>
            </w:r>
          </w:p>
        </w:tc>
        <w:tc>
          <w:tcPr>
            <w:tcW w:w="2580" w:type="dxa"/>
            <w:vAlign w:val="bottom"/>
          </w:tcPr>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Utah</w:t>
            </w:r>
          </w:p>
        </w:tc>
      </w:tr>
      <w:tr>
        <w:trPr>
          <w:trHeight w:val="219"/>
        </w:trPr>
        <w:tc>
          <w:tcPr>
            <w:tcW w:w="31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i w:val="1"/>
                <w:iCs w:val="1"/>
                <w:color w:val="auto"/>
              </w:rPr>
              <w:t>Florida</w:t>
            </w:r>
          </w:p>
        </w:tc>
        <w:tc>
          <w:tcPr>
            <w:tcW w:w="32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Napoleon (MB)</w:t>
            </w:r>
          </w:p>
        </w:tc>
        <w:tc>
          <w:tcPr>
            <w:tcW w:w="258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Richmond (S)</w:t>
            </w:r>
          </w:p>
        </w:tc>
      </w:tr>
      <w:tr>
        <w:trPr>
          <w:trHeight w:val="219"/>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Lakeland (S)</w:t>
            </w:r>
          </w:p>
        </w:tc>
        <w:tc>
          <w:tcPr>
            <w:tcW w:w="32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Willard (S)</w:t>
            </w:r>
          </w:p>
        </w:tc>
        <w:tc>
          <w:tcPr>
            <w:tcW w:w="2580" w:type="dxa"/>
            <w:vAlign w:val="bottom"/>
          </w:tcPr>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Wisconsin</w:t>
            </w:r>
          </w:p>
        </w:tc>
      </w:tr>
      <w:tr>
        <w:trPr>
          <w:trHeight w:val="225"/>
        </w:trPr>
        <w:tc>
          <w:tcPr>
            <w:tcW w:w="31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i w:val="1"/>
                <w:iCs w:val="1"/>
                <w:color w:val="auto"/>
              </w:rPr>
              <w:t>Illinois</w:t>
            </w:r>
          </w:p>
        </w:tc>
        <w:tc>
          <w:tcPr>
            <w:tcW w:w="3280" w:type="dxa"/>
            <w:vAlign w:val="bottom"/>
          </w:tcPr>
          <w:p>
            <w:pPr>
              <w:ind w:left="860"/>
              <w:spacing w:after="0"/>
              <w:rPr>
                <w:sz w:val="20"/>
                <w:szCs w:val="20"/>
                <w:color w:val="auto"/>
              </w:rPr>
            </w:pPr>
            <w:r>
              <w:rPr>
                <w:rFonts w:ascii="Times New Roman" w:cs="Times New Roman" w:eastAsia="Times New Roman" w:hAnsi="Times New Roman"/>
                <w:sz w:val="17"/>
                <w:szCs w:val="17"/>
                <w:b w:val="1"/>
                <w:bCs w:val="1"/>
                <w:i w:val="1"/>
                <w:iCs w:val="1"/>
                <w:color w:val="auto"/>
              </w:rPr>
              <w:t>Oregon</w:t>
            </w:r>
          </w:p>
        </w:tc>
        <w:tc>
          <w:tcPr>
            <w:tcW w:w="258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Beloit (S)</w:t>
            </w:r>
          </w:p>
        </w:tc>
      </w:tr>
      <w:tr>
        <w:trPr>
          <w:trHeight w:val="213"/>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Downers Grove (S)</w:t>
            </w:r>
          </w:p>
        </w:tc>
        <w:tc>
          <w:tcPr>
            <w:tcW w:w="32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Salem (S)</w:t>
            </w:r>
          </w:p>
        </w:tc>
        <w:tc>
          <w:tcPr>
            <w:tcW w:w="258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Franklin (S)</w:t>
            </w:r>
          </w:p>
        </w:tc>
      </w:tr>
      <w:tr>
        <w:trPr>
          <w:trHeight w:val="225"/>
        </w:trPr>
        <w:tc>
          <w:tcPr>
            <w:tcW w:w="31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i w:val="1"/>
                <w:iCs w:val="1"/>
                <w:color w:val="auto"/>
              </w:rPr>
              <w:t>Indiana</w:t>
            </w:r>
          </w:p>
        </w:tc>
        <w:tc>
          <w:tcPr>
            <w:tcW w:w="32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Tualatin (MB)</w:t>
            </w:r>
          </w:p>
        </w:tc>
        <w:tc>
          <w:tcPr>
            <w:tcW w:w="258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Milwaukee (MB)</w:t>
            </w:r>
          </w:p>
        </w:tc>
      </w:tr>
      <w:tr>
        <w:trPr>
          <w:trHeight w:val="223"/>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Jeffersonville (S)</w:t>
            </w:r>
          </w:p>
        </w:tc>
        <w:tc>
          <w:tcPr>
            <w:tcW w:w="328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79"/>
        </w:trPr>
        <w:tc>
          <w:tcPr>
            <w:tcW w:w="3180" w:type="dxa"/>
            <w:vAlign w:val="bottom"/>
          </w:tcPr>
          <w:p>
            <w:pPr>
              <w:spacing w:after="0"/>
              <w:rPr>
                <w:sz w:val="20"/>
                <w:szCs w:val="20"/>
                <w:color w:val="auto"/>
              </w:rPr>
            </w:pPr>
            <w:r>
              <w:rPr>
                <w:rFonts w:ascii="Times New Roman" w:cs="Times New Roman" w:eastAsia="Times New Roman" w:hAnsi="Times New Roman"/>
                <w:sz w:val="15"/>
                <w:szCs w:val="15"/>
                <w:color w:val="auto"/>
              </w:rPr>
              <w:t>______________________________</w:t>
            </w:r>
          </w:p>
        </w:tc>
        <w:tc>
          <w:tcPr>
            <w:tcW w:w="32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06"/>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MB - Meals &amp; Beverages</w:t>
            </w:r>
          </w:p>
        </w:tc>
        <w:tc>
          <w:tcPr>
            <w:tcW w:w="328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23"/>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S - Snacks</w:t>
            </w:r>
          </w:p>
        </w:tc>
        <w:tc>
          <w:tcPr>
            <w:tcW w:w="3280" w:type="dxa"/>
            <w:vAlign w:val="bottom"/>
          </w:tcPr>
          <w:p>
            <w:pPr>
              <w:spacing w:after="0"/>
              <w:rPr>
                <w:sz w:val="19"/>
                <w:szCs w:val="19"/>
                <w:color w:val="auto"/>
              </w:rPr>
            </w:pPr>
          </w:p>
        </w:tc>
        <w:tc>
          <w:tcPr>
            <w:tcW w:w="2580" w:type="dxa"/>
            <w:vAlign w:val="bottom"/>
          </w:tcPr>
          <w:p>
            <w:pPr>
              <w:spacing w:after="0"/>
              <w:rPr>
                <w:sz w:val="19"/>
                <w:szCs w:val="19"/>
                <w:color w:val="auto"/>
              </w:rPr>
            </w:pPr>
          </w:p>
        </w:tc>
      </w:tr>
    </w:tbl>
    <w:p>
      <w:pPr>
        <w:spacing w:after="0" w:line="60"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Each of the foregoing manufacturing facilities is company-owned, except the Tualatin, Oregon facility, which is leased. We also maintain principal business unit offices in Charlotte, North Carolina; Doral, Florida; Hanover, Pennsylvania; Norwalk, Connecticut; Tualatin, Oregon; and Mississauga, Canada.</w:t>
      </w:r>
    </w:p>
    <w:p>
      <w:pPr>
        <w:spacing w:after="0" w:line="36"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We also own and lease distribution centers across the U.S. We believe that our manufacturing and processing plants and distribution centers are well maintained and, together with facilities operated by our contract manufacturers, are generally adequate to support the current operations of the businesses.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Legal Proceedings</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Information regarding reportable legal proceedings is contained in Note 18 to the Consolidated Financial Statements and incorporated herein by reference.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Information about our Executive Officers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section below provides information regarding our executive officers as of September 14, 2022:</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7"/>
          <w:szCs w:val="17"/>
          <w:b w:val="1"/>
          <w:bCs w:val="1"/>
          <w:u w:val="single" w:color="auto"/>
          <w:color w:val="auto"/>
        </w:rPr>
        <w:t>Name, Present Title &amp;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122160" cy="286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2160" cy="286385"/>
                    </a:xfrm>
                    <a:prstGeom prst="rect">
                      <a:avLst/>
                    </a:prstGeom>
                    <a:noFill/>
                  </pic:spPr>
                </pic:pic>
              </a:graphicData>
            </a:graphic>
          </wp:anchor>
        </w:drawing>
      </w:r>
    </w:p>
    <w:p>
      <w:pPr>
        <w:spacing w:after="0" w:line="20" w:lineRule="exact"/>
        <w:rPr>
          <w:sz w:val="20"/>
          <w:szCs w:val="20"/>
          <w:color w:val="auto"/>
        </w:rPr>
      </w:pPr>
    </w:p>
    <w:p>
      <w:pPr>
        <w:ind w:left="20" w:right="180"/>
        <w:spacing w:after="0" w:line="270" w:lineRule="auto"/>
        <w:rPr>
          <w:sz w:val="20"/>
          <w:szCs w:val="20"/>
          <w:color w:val="auto"/>
        </w:rPr>
      </w:pPr>
      <w:r>
        <w:rPr>
          <w:rFonts w:ascii="Times New Roman" w:cs="Times New Roman" w:eastAsia="Times New Roman" w:hAnsi="Times New Roman"/>
          <w:sz w:val="17"/>
          <w:szCs w:val="17"/>
          <w:color w:val="auto"/>
        </w:rPr>
        <w:t>Mick J. Beekhuizen, Executive Vice President and Chief Financial Officer. Executive Vice President and Chief Financial Officer, Chobani LLC (2016-2019). Executive Vice President and Chief Financial Officer, Education Management Corporation (2013-2016).</w:t>
      </w:r>
    </w:p>
    <w:p>
      <w:pPr>
        <w:spacing w:after="0" w:line="11" w:lineRule="exact"/>
        <w:rPr>
          <w:sz w:val="20"/>
          <w:szCs w:val="20"/>
          <w:color w:val="auto"/>
        </w:rPr>
      </w:pPr>
    </w:p>
    <w:p>
      <w:pPr>
        <w:ind w:left="20" w:right="320"/>
        <w:spacing w:after="0" w:line="270" w:lineRule="auto"/>
        <w:rPr>
          <w:sz w:val="20"/>
          <w:szCs w:val="20"/>
          <w:color w:val="auto"/>
        </w:rPr>
      </w:pPr>
      <w:r>
        <w:rPr>
          <w:rFonts w:ascii="Times New Roman" w:cs="Times New Roman" w:eastAsia="Times New Roman" w:hAnsi="Times New Roman"/>
          <w:sz w:val="17"/>
          <w:szCs w:val="17"/>
          <w:color w:val="auto"/>
        </w:rPr>
        <w:t>Adam G. Ciongoli, Executive Vice President, General Counsel and Chief Sustainability, Corporate Responsibility and Governance Officer. Executive Vice President and General Counsel, Lincoln Financial Group (2012-2015).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22160" cy="286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2160" cy="286385"/>
                    </a:xfrm>
                    <a:prstGeom prst="rect">
                      <a:avLst/>
                    </a:prstGeom>
                    <a:noFill/>
                  </pic:spPr>
                </pic:pic>
              </a:graphicData>
            </a:graphic>
          </wp:anchor>
        </w:drawing>
      </w:r>
    </w:p>
    <w:p>
      <w:pPr>
        <w:ind w:left="20" w:right="40"/>
        <w:spacing w:after="0" w:line="270" w:lineRule="auto"/>
        <w:rPr>
          <w:sz w:val="20"/>
          <w:szCs w:val="20"/>
          <w:color w:val="auto"/>
        </w:rPr>
      </w:pPr>
      <w:r>
        <w:rPr>
          <w:rFonts w:ascii="Times New Roman" w:cs="Times New Roman" w:eastAsia="Times New Roman" w:hAnsi="Times New Roman"/>
          <w:sz w:val="17"/>
          <w:szCs w:val="17"/>
          <w:color w:val="auto"/>
        </w:rPr>
        <w:t>Mark A. Clouse, President and Chief Executive Officer. Chief Executive Officer, Pinnacle Foods, Inc. (2016-2018). Chief Commercial Officer (2016) and Executive Vice President and Chief Growth Officer (2014-2016), Mondelez International, Inc.</w:t>
      </w:r>
    </w:p>
    <w:p>
      <w:pPr>
        <w:spacing w:after="0" w:line="11" w:lineRule="exact"/>
        <w:rPr>
          <w:sz w:val="20"/>
          <w:szCs w:val="20"/>
          <w:color w:val="auto"/>
        </w:rPr>
      </w:pPr>
    </w:p>
    <w:p>
      <w:pPr>
        <w:ind w:left="20" w:right="260"/>
        <w:spacing w:after="0" w:line="268" w:lineRule="auto"/>
        <w:rPr>
          <w:sz w:val="20"/>
          <w:szCs w:val="20"/>
          <w:color w:val="auto"/>
        </w:rPr>
      </w:pPr>
      <w:r>
        <w:rPr>
          <w:rFonts w:ascii="Times New Roman" w:cs="Times New Roman" w:eastAsia="Times New Roman" w:hAnsi="Times New Roman"/>
          <w:sz w:val="17"/>
          <w:szCs w:val="17"/>
          <w:color w:val="auto"/>
        </w:rPr>
        <w:t>Christopher D. Foley, Executive Vice President and President, Meals &amp; Beverages. We have employed Mr. Foley in an executive or managerial capacity for at least five years.</w:t>
      </w:r>
    </w:p>
    <w:p>
      <w:pPr>
        <w:spacing w:after="0" w:line="1" w:lineRule="exact"/>
        <w:rPr>
          <w:sz w:val="20"/>
          <w:szCs w:val="20"/>
          <w:color w:val="auto"/>
        </w:rPr>
      </w:pPr>
    </w:p>
    <w:p>
      <w:pPr>
        <w:ind w:left="20" w:right="340"/>
        <w:spacing w:after="0" w:line="224" w:lineRule="auto"/>
        <w:rPr>
          <w:sz w:val="20"/>
          <w:szCs w:val="20"/>
          <w:color w:val="auto"/>
        </w:rPr>
      </w:pPr>
      <w:r>
        <w:rPr>
          <w:rFonts w:ascii="Times New Roman" w:cs="Times New Roman" w:eastAsia="Times New Roman" w:hAnsi="Times New Roman"/>
          <w:sz w:val="17"/>
          <w:szCs w:val="17"/>
          <w:color w:val="auto"/>
        </w:rPr>
        <w:t>Diane Johnson May, Executive Vice President and Chief Human Resources Officer. Senior Vice President, People and Culture, Manpower Group (2020-2021). Executive Vice President, Chief Human Resources Officer, Brookdale Senior Living (2019-2020).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-228600</wp:posOffset>
            </wp:positionV>
            <wp:extent cx="7122160" cy="3600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2160" cy="3600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Managing Vice President, The Deli Source, Inc. (2017-2019).</w:t>
      </w:r>
    </w:p>
    <w:p>
      <w:pPr>
        <w:spacing w:after="0" w:line="18" w:lineRule="exact"/>
        <w:rPr>
          <w:sz w:val="20"/>
          <w:szCs w:val="20"/>
          <w:color w:val="auto"/>
        </w:rPr>
      </w:pPr>
    </w:p>
    <w:p>
      <w:pPr>
        <w:ind w:left="20" w:right="220"/>
        <w:spacing w:after="0" w:line="268" w:lineRule="auto"/>
        <w:rPr>
          <w:sz w:val="20"/>
          <w:szCs w:val="20"/>
          <w:color w:val="auto"/>
        </w:rPr>
      </w:pPr>
      <w:r>
        <w:rPr>
          <w:rFonts w:ascii="Times New Roman" w:cs="Times New Roman" w:eastAsia="Times New Roman" w:hAnsi="Times New Roman"/>
          <w:sz w:val="17"/>
          <w:szCs w:val="17"/>
          <w:color w:val="auto"/>
        </w:rPr>
        <w:t>Valerie J. Oswalt, Executive Vice President and President, Snacks. Chief Executive Officer, Century Snacks (2018-2020). President, Mondelez North America Confections (2017-2018). President, Mondelez North America Sales (2015-2017).</w:t>
      </w:r>
    </w:p>
    <w:p>
      <w:pPr>
        <w:spacing w:after="0" w:line="1" w:lineRule="exact"/>
        <w:rPr>
          <w:sz w:val="20"/>
          <w:szCs w:val="20"/>
          <w:color w:val="auto"/>
        </w:rPr>
      </w:pPr>
    </w:p>
    <w:p>
      <w:pPr>
        <w:ind w:left="20" w:right="380"/>
        <w:spacing w:after="0" w:line="224" w:lineRule="auto"/>
        <w:rPr>
          <w:sz w:val="20"/>
          <w:szCs w:val="20"/>
          <w:color w:val="auto"/>
        </w:rPr>
      </w:pPr>
      <w:r>
        <w:rPr>
          <w:rFonts w:ascii="Times New Roman" w:cs="Times New Roman" w:eastAsia="Times New Roman" w:hAnsi="Times New Roman"/>
          <w:sz w:val="17"/>
          <w:szCs w:val="17"/>
          <w:color w:val="auto"/>
        </w:rPr>
        <w:t>Daniel L. Poland, Executive Vice President and Chief Supply Chain Officer. Chief Operating Officer, KIND Snacks (2019-2021). Executive Vice President and Chief Supply Chain Officer, Pinnacle Foods, Inc. (2018-2019). Chief Supply Chain Officer - North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-228600</wp:posOffset>
            </wp:positionV>
            <wp:extent cx="7122160" cy="36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2160" cy="3600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American Operations, Danone (2016-2017).</w:t>
      </w:r>
    </w:p>
    <w:p>
      <w:pPr>
        <w:spacing w:after="0" w:line="9" w:lineRule="exact"/>
        <w:rPr>
          <w:sz w:val="20"/>
          <w:szCs w:val="20"/>
          <w:color w:val="auto"/>
        </w:rPr>
      </w:pPr>
    </w:p>
    <w:p>
      <w:pPr>
        <w:ind w:left="20" w:right="300"/>
        <w:spacing w:after="0" w:line="237" w:lineRule="auto"/>
        <w:rPr>
          <w:sz w:val="20"/>
          <w:szCs w:val="20"/>
          <w:color w:val="auto"/>
        </w:rPr>
      </w:pPr>
      <w:r>
        <w:rPr>
          <w:rFonts w:ascii="Times New Roman" w:cs="Times New Roman" w:eastAsia="Times New Roman" w:hAnsi="Times New Roman"/>
          <w:sz w:val="17"/>
          <w:szCs w:val="17"/>
          <w:color w:val="auto"/>
        </w:rPr>
        <w:t>Anthony J. Sanzio, Executive Vice President and Chief Communications Officer. We have employed Mr. Sanzio in an executive or managerial capacity for at least five years.</w:t>
      </w:r>
    </w:p>
    <w:p>
      <w:pPr>
        <w:spacing w:after="0" w:line="9"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7"/>
          <w:szCs w:val="17"/>
          <w:color w:val="auto"/>
        </w:rPr>
        <w:t>Craig S. Slavtcheff, Executive Vice President, Chief R&amp;D and Innovation Officer. We have employed Mr. Slavtcheff in an executive or managerial capacity for at least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7122160" cy="253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2160" cy="2533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Year First</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Appointed</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Executive</w:t>
      </w:r>
    </w:p>
    <w:p>
      <w:pPr>
        <w:spacing w:after="0" w:line="1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u w:val="single" w:color="auto"/>
          <w:color w:val="auto"/>
        </w:rPr>
        <w:t>Age</w:t>
      </w:r>
      <w:r>
        <w:rPr>
          <w:sz w:val="20"/>
          <w:szCs w:val="20"/>
          <w:color w:val="auto"/>
        </w:rPr>
        <w:tab/>
      </w:r>
      <w:r>
        <w:rPr>
          <w:rFonts w:ascii="Times New Roman" w:cs="Times New Roman" w:eastAsia="Times New Roman" w:hAnsi="Times New Roman"/>
          <w:sz w:val="17"/>
          <w:szCs w:val="17"/>
          <w:b w:val="1"/>
          <w:bCs w:val="1"/>
          <w:u w:val="single" w:color="auto"/>
          <w:color w:val="auto"/>
        </w:rPr>
        <w:t>Officer</w:t>
      </w:r>
    </w:p>
    <w:p>
      <w:pPr>
        <w:spacing w:after="0" w:line="148"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7"/>
          <w:szCs w:val="17"/>
          <w:color w:val="auto"/>
        </w:rPr>
        <w:t>46</w:t>
      </w:r>
      <w:r>
        <w:rPr>
          <w:sz w:val="20"/>
          <w:szCs w:val="20"/>
          <w:color w:val="auto"/>
        </w:rPr>
        <w:tab/>
      </w:r>
      <w:r>
        <w:rPr>
          <w:rFonts w:ascii="Times New Roman" w:cs="Times New Roman" w:eastAsia="Times New Roman" w:hAnsi="Times New Roman"/>
          <w:sz w:val="17"/>
          <w:szCs w:val="17"/>
          <w:color w:val="auto"/>
        </w:rPr>
        <w:t>2020</w:t>
      </w:r>
    </w:p>
    <w:p>
      <w:pPr>
        <w:spacing w:after="0" w:line="255"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7"/>
          <w:szCs w:val="17"/>
          <w:color w:val="auto"/>
        </w:rPr>
        <w:t>54</w:t>
      </w:r>
      <w:r>
        <w:rPr>
          <w:sz w:val="20"/>
          <w:szCs w:val="20"/>
          <w:color w:val="auto"/>
        </w:rPr>
        <w:tab/>
      </w:r>
      <w:r>
        <w:rPr>
          <w:rFonts w:ascii="Times New Roman" w:cs="Times New Roman" w:eastAsia="Times New Roman" w:hAnsi="Times New Roman"/>
          <w:sz w:val="17"/>
          <w:szCs w:val="17"/>
          <w:color w:val="auto"/>
        </w:rPr>
        <w:t>2015</w:t>
      </w:r>
    </w:p>
    <w:p>
      <w:pPr>
        <w:spacing w:after="0" w:line="255"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7"/>
          <w:szCs w:val="17"/>
          <w:color w:val="auto"/>
        </w:rPr>
        <w:t>54</w:t>
      </w:r>
      <w:r>
        <w:rPr>
          <w:sz w:val="20"/>
          <w:szCs w:val="20"/>
          <w:color w:val="auto"/>
        </w:rPr>
        <w:tab/>
      </w:r>
      <w:r>
        <w:rPr>
          <w:rFonts w:ascii="Times New Roman" w:cs="Times New Roman" w:eastAsia="Times New Roman" w:hAnsi="Times New Roman"/>
          <w:sz w:val="17"/>
          <w:szCs w:val="17"/>
          <w:color w:val="auto"/>
        </w:rPr>
        <w:t>2019</w:t>
      </w:r>
    </w:p>
    <w:p>
      <w:pPr>
        <w:spacing w:after="0" w:line="255"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7"/>
          <w:szCs w:val="17"/>
          <w:color w:val="auto"/>
        </w:rPr>
        <w:t>50</w:t>
      </w:r>
      <w:r>
        <w:rPr>
          <w:sz w:val="20"/>
          <w:szCs w:val="20"/>
          <w:color w:val="auto"/>
        </w:rPr>
        <w:tab/>
      </w:r>
      <w:r>
        <w:rPr>
          <w:rFonts w:ascii="Times New Roman" w:cs="Times New Roman" w:eastAsia="Times New Roman" w:hAnsi="Times New Roman"/>
          <w:sz w:val="17"/>
          <w:szCs w:val="17"/>
          <w:color w:val="auto"/>
        </w:rPr>
        <w:t>2019</w:t>
      </w:r>
    </w:p>
    <w:p>
      <w:pPr>
        <w:spacing w:after="0" w:line="307"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7"/>
          <w:szCs w:val="17"/>
          <w:color w:val="auto"/>
        </w:rPr>
        <w:t>64</w:t>
      </w:r>
      <w:r>
        <w:rPr>
          <w:sz w:val="20"/>
          <w:szCs w:val="20"/>
          <w:color w:val="auto"/>
        </w:rPr>
        <w:tab/>
      </w:r>
      <w:r>
        <w:rPr>
          <w:rFonts w:ascii="Times New Roman" w:cs="Times New Roman" w:eastAsia="Times New Roman" w:hAnsi="Times New Roman"/>
          <w:sz w:val="17"/>
          <w:szCs w:val="17"/>
          <w:color w:val="auto"/>
        </w:rPr>
        <w:t>2022</w:t>
      </w:r>
    </w:p>
    <w:p>
      <w:pPr>
        <w:spacing w:after="0" w:line="320"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7"/>
          <w:szCs w:val="17"/>
          <w:color w:val="auto"/>
        </w:rPr>
        <w:t>49</w:t>
      </w:r>
      <w:r>
        <w:rPr>
          <w:sz w:val="20"/>
          <w:szCs w:val="20"/>
          <w:color w:val="auto"/>
        </w:rPr>
        <w:tab/>
      </w:r>
      <w:r>
        <w:rPr>
          <w:rFonts w:ascii="Times New Roman" w:cs="Times New Roman" w:eastAsia="Times New Roman" w:hAnsi="Times New Roman"/>
          <w:sz w:val="17"/>
          <w:szCs w:val="17"/>
          <w:color w:val="auto"/>
        </w:rPr>
        <w:t>2020</w:t>
      </w:r>
    </w:p>
    <w:p>
      <w:pPr>
        <w:spacing w:after="0" w:line="307"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7"/>
          <w:szCs w:val="17"/>
          <w:color w:val="auto"/>
        </w:rPr>
        <w:t>59</w:t>
      </w:r>
      <w:r>
        <w:rPr>
          <w:sz w:val="20"/>
          <w:szCs w:val="20"/>
          <w:color w:val="auto"/>
        </w:rPr>
        <w:tab/>
      </w:r>
      <w:r>
        <w:rPr>
          <w:rFonts w:ascii="Times New Roman" w:cs="Times New Roman" w:eastAsia="Times New Roman" w:hAnsi="Times New Roman"/>
          <w:sz w:val="17"/>
          <w:szCs w:val="17"/>
          <w:color w:val="auto"/>
        </w:rPr>
        <w:t>2022</w:t>
      </w:r>
    </w:p>
    <w:p>
      <w:pPr>
        <w:spacing w:after="0" w:line="294" w:lineRule="exact"/>
        <w:rPr>
          <w:sz w:val="20"/>
          <w:szCs w:val="20"/>
          <w:color w:val="auto"/>
        </w:rPr>
      </w:pPr>
    </w:p>
    <w:p>
      <w:pPr>
        <w:ind w:left="860" w:hanging="803"/>
        <w:spacing w:after="0"/>
        <w:tabs>
          <w:tab w:leader="none" w:pos="8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2022</w:t>
      </w:r>
    </w:p>
    <w:p>
      <w:pPr>
        <w:spacing w:after="0" w:line="203" w:lineRule="exact"/>
        <w:rPr>
          <w:rFonts w:ascii="Times New Roman" w:cs="Times New Roman" w:eastAsia="Times New Roman" w:hAnsi="Times New Roman"/>
          <w:sz w:val="17"/>
          <w:szCs w:val="17"/>
          <w:color w:val="auto"/>
        </w:rPr>
      </w:pPr>
    </w:p>
    <w:p>
      <w:pPr>
        <w:ind w:left="860" w:hanging="803"/>
        <w:spacing w:after="0"/>
        <w:tabs>
          <w:tab w:leader="none" w:pos="8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2019</w:t>
      </w:r>
    </w:p>
    <w:p>
      <w:pPr>
        <w:spacing w:after="0" w:line="303" w:lineRule="exact"/>
        <w:rPr>
          <w:sz w:val="20"/>
          <w:szCs w:val="20"/>
          <w:color w:val="auto"/>
        </w:rPr>
      </w:pPr>
    </w:p>
    <w:p>
      <w:pPr>
        <w:sectPr>
          <w:pgSz w:w="11900" w:h="16838" w:orient="portrait"/>
          <w:cols w:equalWidth="0" w:num="2">
            <w:col w:w="9320" w:space="320"/>
            <w:col w:w="1420"/>
          </w:cols>
          <w:pgMar w:left="320" w:top="943" w:right="51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134620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943" w:right="519" w:bottom="1440" w:gutter="0" w:footer="0" w:header="0"/>
          <w:type w:val="continuous"/>
        </w:sectPr>
      </w:pPr>
    </w:p>
    <w:bookmarkStart w:id="15" w:name="page16"/>
    <w:bookmarkEnd w:id="15"/>
    <w:p>
      <w:pPr>
        <w:ind w:left="532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w:t>
      </w:r>
      <w:r>
        <w:rPr>
          <w:rFonts w:ascii="Times New Roman" w:cs="Times New Roman" w:eastAsia="Times New Roman" w:hAnsi="Times New Roman"/>
          <w:sz w:val="17"/>
          <w:szCs w:val="17"/>
          <w:b w:val="1"/>
          <w:bCs w:val="1"/>
          <w:i w:val="1"/>
          <w:iCs w:val="1"/>
          <w:color w:val="auto"/>
        </w:rPr>
        <w:t>. Market for Registrant’s Capital Stock, Related Shareholder Matters and Issuer Purchases of Equity Securities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for Registrant’s Capital Stock</w:t>
      </w:r>
    </w:p>
    <w:p>
      <w:pPr>
        <w:spacing w:after="0" w:line="105"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Our capital stock is traded on the New York Stock Exchange under the symbol "CPB." On September 14, 2022, there were 299,364,411 holders of record of our capital stock.</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Return to Shareholders</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7"/>
          <w:szCs w:val="17"/>
          <w:b w:val="1"/>
          <w:bCs w:val="1"/>
          <w:color w:val="auto"/>
        </w:rPr>
        <w:t xml:space="preserve"> Performance Graph</w:t>
      </w:r>
    </w:p>
    <w:p>
      <w:pPr>
        <w:spacing w:after="0" w:line="54"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The information contained in this Return to Shareholders Performance Graph section shall not be deemed to be "soliciting material" or "filed" or incorporated by reference in future filings with the Securities and Exchange Commission, or subject to the liabilities of Section 18 of the Securities Exchange Act of 1934, as amended (the Exchange Act), except to the extent we specifically incorporate it by reference into a document filed under the Securities Exchange Act of 1933, as amended, or the Exchange Act.</w:t>
      </w:r>
    </w:p>
    <w:p>
      <w:pPr>
        <w:spacing w:after="0" w:line="58"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following graph compares the cumulative total shareholder return (TSR) on our stock with the cumulative total return of the Standard &amp; Poor’s 500 Stock Index (the S&amp;P 500) and the Standard &amp; Poor’s Packaged Foods Index (the S&amp;P Packaged Foods Group). The graph assumes that $100 was invested on July 28, 2017, in each of our stock, the S&amp;P 500 and the S&amp;P Packaged Foods Group, and that all dividends were reinvested. The total cumulative dollar returns shown on the graph represent the value that such investments would have had on July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241300</wp:posOffset>
            </wp:positionV>
            <wp:extent cx="5012690" cy="3270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12690" cy="3270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0" w:hanging="77"/>
        <w:spacing w:after="0"/>
        <w:tabs>
          <w:tab w:leader="none" w:pos="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Stock appreciation plus dividend reinvestment.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2017</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0" w:type="dxa"/>
            <w:vAlign w:val="bottom"/>
          </w:tcPr>
          <w:p>
            <w:pPr>
              <w:spacing w:after="0"/>
              <w:rPr>
                <w:sz w:val="16"/>
                <w:szCs w:val="16"/>
                <w:color w:val="auto"/>
              </w:rPr>
            </w:pPr>
          </w:p>
        </w:tc>
      </w:tr>
      <w:tr>
        <w:trPr>
          <w:trHeight w:val="214"/>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110</w:t>
            </w:r>
          </w:p>
        </w:tc>
        <w:tc>
          <w:tcPr>
            <w:tcW w:w="400" w:type="dxa"/>
            <w:vAlign w:val="bottom"/>
          </w:tcPr>
          <w:p>
            <w:pPr>
              <w:spacing w:after="0"/>
              <w:rPr>
                <w:sz w:val="18"/>
                <w:szCs w:val="18"/>
                <w:color w:val="auto"/>
              </w:rPr>
            </w:pPr>
          </w:p>
        </w:tc>
      </w:tr>
      <w:tr>
        <w:trPr>
          <w:trHeight w:val="21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S&amp;P 500</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192</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183</w:t>
            </w:r>
          </w:p>
        </w:tc>
        <w:tc>
          <w:tcPr>
            <w:tcW w:w="400" w:type="dxa"/>
            <w:vAlign w:val="bottom"/>
          </w:tcPr>
          <w:p>
            <w:pPr>
              <w:spacing w:after="0"/>
              <w:rPr>
                <w:sz w:val="19"/>
                <w:szCs w:val="19"/>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S&amp;P Packaged Foods Group</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135</w:t>
            </w:r>
          </w:p>
        </w:tc>
        <w:tc>
          <w:tcPr>
            <w:tcW w:w="400" w:type="dxa"/>
            <w:vAlign w:val="bottom"/>
          </w:tcPr>
          <w:p>
            <w:pPr>
              <w:spacing w:after="0"/>
              <w:rPr>
                <w:sz w:val="19"/>
                <w:szCs w:val="19"/>
                <w:color w:val="auto"/>
              </w:rPr>
            </w:pPr>
          </w:p>
        </w:tc>
      </w:tr>
      <w:tr>
        <w:trPr>
          <w:trHeight w:val="735"/>
        </w:trPr>
        <w:tc>
          <w:tcPr>
            <w:tcW w:w="5380" w:type="dxa"/>
            <w:vAlign w:val="bottom"/>
          </w:tcPr>
          <w:p>
            <w:pPr>
              <w:spacing w:after="0"/>
              <w:rPr>
                <w:sz w:val="24"/>
                <w:szCs w:val="24"/>
                <w:color w:val="auto"/>
              </w:rPr>
            </w:pPr>
          </w:p>
        </w:tc>
        <w:tc>
          <w:tcPr>
            <w:tcW w:w="820" w:type="dxa"/>
            <w:vAlign w:val="bottom"/>
          </w:tcPr>
          <w:p>
            <w:pPr>
              <w:jc w:val="right"/>
              <w:ind w:right="418"/>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8"/>
        </w:trPr>
        <w:tc>
          <w:tcPr>
            <w:tcW w:w="538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5"/>
              </w:rPr>
              <w:t>Approximate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jc w:val="center"/>
              <w:ind w:right="105"/>
              <w:spacing w:after="0" w:line="130" w:lineRule="exact"/>
              <w:rPr>
                <w:sz w:val="20"/>
                <w:szCs w:val="20"/>
                <w:color w:val="auto"/>
              </w:rPr>
            </w:pPr>
            <w:r>
              <w:rPr>
                <w:rFonts w:ascii="Times New Roman" w:cs="Times New Roman" w:eastAsia="Times New Roman" w:hAnsi="Times New Roman"/>
                <w:sz w:val="14"/>
                <w:szCs w:val="14"/>
                <w:b w:val="1"/>
                <w:bCs w:val="1"/>
                <w:color w:val="auto"/>
                <w:w w:val="95"/>
              </w:rPr>
              <w:t>Dollar Value of</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gridSpan w:val="2"/>
          </w:tcPr>
          <w:p>
            <w:pPr>
              <w:jc w:val="center"/>
              <w:ind w:right="380"/>
              <w:spacing w:after="0" w:line="153" w:lineRule="exact"/>
              <w:rPr>
                <w:sz w:val="20"/>
                <w:szCs w:val="20"/>
                <w:color w:val="auto"/>
              </w:rPr>
            </w:pPr>
            <w:r>
              <w:rPr>
                <w:rFonts w:ascii="Times New Roman" w:cs="Times New Roman" w:eastAsia="Times New Roman" w:hAnsi="Times New Roman"/>
                <w:sz w:val="14"/>
                <w:szCs w:val="14"/>
                <w:b w:val="1"/>
                <w:bCs w:val="1"/>
                <w:color w:val="auto"/>
                <w:w w:val="97"/>
              </w:rPr>
              <w:t>Total Number of</w:t>
            </w:r>
          </w:p>
        </w:tc>
        <w:tc>
          <w:tcPr>
            <w:tcW w:w="180" w:type="dxa"/>
            <w:vAlign w:val="bottom"/>
          </w:tcPr>
          <w:p>
            <w:pPr>
              <w:spacing w:after="0"/>
              <w:rPr>
                <w:sz w:val="13"/>
                <w:szCs w:val="13"/>
                <w:color w:val="auto"/>
              </w:rPr>
            </w:pPr>
          </w:p>
        </w:tc>
        <w:tc>
          <w:tcPr>
            <w:tcW w:w="1460" w:type="dxa"/>
            <w:vAlign w:val="bottom"/>
          </w:tcPr>
          <w:p>
            <w:pPr>
              <w:jc w:val="center"/>
              <w:ind w:right="105"/>
              <w:spacing w:after="0" w:line="153" w:lineRule="exact"/>
              <w:rPr>
                <w:sz w:val="20"/>
                <w:szCs w:val="20"/>
                <w:color w:val="auto"/>
              </w:rPr>
            </w:pPr>
            <w:r>
              <w:rPr>
                <w:rFonts w:ascii="Times New Roman" w:cs="Times New Roman" w:eastAsia="Times New Roman" w:hAnsi="Times New Roman"/>
                <w:sz w:val="14"/>
                <w:szCs w:val="14"/>
                <w:b w:val="1"/>
                <w:bCs w:val="1"/>
                <w:color w:val="auto"/>
                <w:w w:val="97"/>
              </w:rPr>
              <w:t>Shares that may yet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6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Total Number</w:t>
            </w:r>
          </w:p>
        </w:tc>
        <w:tc>
          <w:tcPr>
            <w:tcW w:w="160" w:type="dxa"/>
            <w:vAlign w:val="bottom"/>
          </w:tcPr>
          <w:p>
            <w:pPr>
              <w:spacing w:after="0"/>
              <w:rPr>
                <w:sz w:val="11"/>
                <w:szCs w:val="11"/>
                <w:color w:val="auto"/>
              </w:rPr>
            </w:pPr>
          </w:p>
        </w:tc>
        <w:tc>
          <w:tcPr>
            <w:tcW w:w="134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w w:val="97"/>
              </w:rPr>
              <w:t>Shares Purchased</w:t>
            </w:r>
          </w:p>
        </w:tc>
        <w:tc>
          <w:tcPr>
            <w:tcW w:w="180" w:type="dxa"/>
            <w:vAlign w:val="bottom"/>
          </w:tcPr>
          <w:p>
            <w:pPr>
              <w:spacing w:after="0"/>
              <w:rPr>
                <w:sz w:val="11"/>
                <w:szCs w:val="11"/>
                <w:color w:val="auto"/>
              </w:rPr>
            </w:pPr>
          </w:p>
        </w:tc>
        <w:tc>
          <w:tcPr>
            <w:tcW w:w="1460" w:type="dxa"/>
            <w:vAlign w:val="bottom"/>
          </w:tcPr>
          <w:p>
            <w:pPr>
              <w:jc w:val="center"/>
              <w:ind w:right="105"/>
              <w:spacing w:after="0" w:line="129" w:lineRule="exact"/>
              <w:rPr>
                <w:sz w:val="20"/>
                <w:szCs w:val="20"/>
                <w:color w:val="auto"/>
              </w:rPr>
            </w:pPr>
            <w:r>
              <w:rPr>
                <w:rFonts w:ascii="Times New Roman" w:cs="Times New Roman" w:eastAsia="Times New Roman" w:hAnsi="Times New Roman"/>
                <w:sz w:val="14"/>
                <w:szCs w:val="14"/>
                <w:b w:val="1"/>
                <w:bCs w:val="1"/>
                <w:color w:val="auto"/>
                <w:w w:val="99"/>
              </w:rPr>
              <w:t>be Purchased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4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as Part of Publicly</w:t>
            </w:r>
          </w:p>
        </w:tc>
        <w:tc>
          <w:tcPr>
            <w:tcW w:w="180" w:type="dxa"/>
            <w:vAlign w:val="bottom"/>
          </w:tcPr>
          <w:p>
            <w:pPr>
              <w:spacing w:after="0"/>
              <w:rPr>
                <w:sz w:val="12"/>
                <w:szCs w:val="12"/>
                <w:color w:val="auto"/>
              </w:rPr>
            </w:pPr>
          </w:p>
        </w:tc>
        <w:tc>
          <w:tcPr>
            <w:tcW w:w="1460" w:type="dxa"/>
            <w:vAlign w:val="bottom"/>
          </w:tcPr>
          <w:p>
            <w:pPr>
              <w:jc w:val="center"/>
              <w:ind w:right="105"/>
              <w:spacing w:after="0" w:line="142" w:lineRule="exact"/>
              <w:rPr>
                <w:sz w:val="20"/>
                <w:szCs w:val="20"/>
                <w:color w:val="auto"/>
              </w:rPr>
            </w:pPr>
            <w:r>
              <w:rPr>
                <w:rFonts w:ascii="Times New Roman" w:cs="Times New Roman" w:eastAsia="Times New Roman" w:hAnsi="Times New Roman"/>
                <w:sz w:val="14"/>
                <w:szCs w:val="14"/>
                <w:b w:val="1"/>
                <w:bCs w:val="1"/>
                <w:color w:val="auto"/>
                <w:w w:val="98"/>
              </w:rPr>
              <w:t>Under the Plans or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160" w:type="dxa"/>
            <w:vAlign w:val="bottom"/>
          </w:tcPr>
          <w:p>
            <w:pPr>
              <w:spacing w:after="0"/>
              <w:rPr>
                <w:sz w:val="12"/>
                <w:szCs w:val="12"/>
                <w:color w:val="auto"/>
              </w:rPr>
            </w:pPr>
          </w:p>
        </w:tc>
        <w:tc>
          <w:tcPr>
            <w:tcW w:w="1340" w:type="dxa"/>
            <w:vAlign w:val="bottom"/>
            <w:gridSpan w:val="2"/>
          </w:tcPr>
          <w:p>
            <w:pPr>
              <w:jc w:val="center"/>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04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Announced Plans or</w:t>
            </w:r>
          </w:p>
        </w:tc>
        <w:tc>
          <w:tcPr>
            <w:tcW w:w="180" w:type="dxa"/>
            <w:vAlign w:val="bottom"/>
          </w:tcPr>
          <w:p>
            <w:pPr>
              <w:spacing w:after="0"/>
              <w:rPr>
                <w:sz w:val="12"/>
                <w:szCs w:val="12"/>
                <w:color w:val="auto"/>
              </w:rPr>
            </w:pPr>
          </w:p>
        </w:tc>
        <w:tc>
          <w:tcPr>
            <w:tcW w:w="1460" w:type="dxa"/>
            <w:vAlign w:val="bottom"/>
          </w:tcPr>
          <w:p>
            <w:pPr>
              <w:jc w:val="center"/>
              <w:ind w:right="105"/>
              <w:spacing w:after="0" w:line="142" w:lineRule="exact"/>
              <w:rPr>
                <w:sz w:val="20"/>
                <w:szCs w:val="20"/>
                <w:color w:val="auto"/>
              </w:rPr>
            </w:pPr>
            <w:r>
              <w:rPr>
                <w:rFonts w:ascii="Times New Roman" w:cs="Times New Roman" w:eastAsia="Times New Roman" w:hAnsi="Times New Roman"/>
                <w:sz w:val="14"/>
                <w:szCs w:val="14"/>
                <w:b w:val="1"/>
                <w:bCs w:val="1"/>
                <w:color w:val="auto"/>
                <w:w w:val="94"/>
              </w:rPr>
              <w:t>Programs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gridSpan w:val="2"/>
            <w:vMerge w:val="continue"/>
          </w:tcPr>
          <w:p>
            <w:pPr>
              <w:spacing w:after="0"/>
              <w:rPr>
                <w:sz w:val="12"/>
                <w:szCs w:val="12"/>
                <w:color w:val="auto"/>
              </w:rPr>
            </w:pPr>
          </w:p>
        </w:tc>
        <w:tc>
          <w:tcPr>
            <w:tcW w:w="160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rPr>
              <w:t xml:space="preserve">Purchased </w:t>
            </w:r>
            <w:r>
              <w:rPr>
                <w:rFonts w:ascii="Times New Roman" w:cs="Times New Roman" w:eastAsia="Times New Roman" w:hAnsi="Times New Roman"/>
                <w:sz w:val="16"/>
                <w:szCs w:val="16"/>
                <w:b w:val="1"/>
                <w:bCs w:val="1"/>
                <w:color w:val="auto"/>
                <w:vertAlign w:val="superscript"/>
              </w:rPr>
              <w:t>(1)</w:t>
            </w:r>
          </w:p>
        </w:tc>
        <w:tc>
          <w:tcPr>
            <w:tcW w:w="160" w:type="dxa"/>
            <w:vAlign w:val="bottom"/>
          </w:tcPr>
          <w:p>
            <w:pPr>
              <w:spacing w:after="0"/>
              <w:rPr>
                <w:sz w:val="12"/>
                <w:szCs w:val="12"/>
                <w:color w:val="auto"/>
              </w:rPr>
            </w:pPr>
          </w:p>
        </w:tc>
        <w:tc>
          <w:tcPr>
            <w:tcW w:w="1340" w:type="dxa"/>
            <w:vAlign w:val="bottom"/>
            <w:gridSpan w:val="2"/>
          </w:tcPr>
          <w:p>
            <w:pPr>
              <w:jc w:val="center"/>
              <w:ind w:right="5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 xml:space="preserve">Per Share </w:t>
            </w:r>
            <w:r>
              <w:rPr>
                <w:rFonts w:ascii="Times New Roman" w:cs="Times New Roman" w:eastAsia="Times New Roman" w:hAnsi="Times New Roman"/>
                <w:sz w:val="16"/>
                <w:szCs w:val="16"/>
                <w:b w:val="1"/>
                <w:bCs w:val="1"/>
                <w:color w:val="auto"/>
                <w:w w:val="98"/>
                <w:vertAlign w:val="superscript"/>
              </w:rPr>
              <w:t>(2)</w:t>
            </w:r>
          </w:p>
        </w:tc>
        <w:tc>
          <w:tcPr>
            <w:tcW w:w="204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8"/>
                <w:szCs w:val="8"/>
                <w:b w:val="1"/>
                <w:bCs w:val="1"/>
                <w:color w:val="auto"/>
              </w:rPr>
              <w:t>(3)</w:t>
            </w:r>
          </w:p>
        </w:tc>
        <w:tc>
          <w:tcPr>
            <w:tcW w:w="180" w:type="dxa"/>
            <w:vAlign w:val="bottom"/>
          </w:tcPr>
          <w:p>
            <w:pPr>
              <w:spacing w:after="0"/>
              <w:rPr>
                <w:sz w:val="12"/>
                <w:szCs w:val="12"/>
                <w:color w:val="auto"/>
              </w:rPr>
            </w:pPr>
          </w:p>
        </w:tc>
        <w:tc>
          <w:tcPr>
            <w:tcW w:w="1460" w:type="dxa"/>
            <w:vAlign w:val="bottom"/>
          </w:tcPr>
          <w:p>
            <w:pPr>
              <w:jc w:val="center"/>
              <w:ind w:right="105"/>
              <w:spacing w:after="0" w:line="142" w:lineRule="exact"/>
              <w:rPr>
                <w:sz w:val="20"/>
                <w:szCs w:val="20"/>
                <w:color w:val="auto"/>
              </w:rPr>
            </w:pPr>
            <w:r>
              <w:rPr>
                <w:rFonts w:ascii="Times New Roman" w:cs="Times New Roman" w:eastAsia="Times New Roman" w:hAnsi="Times New Roman"/>
                <w:sz w:val="13"/>
                <w:szCs w:val="13"/>
                <w:b w:val="1"/>
                <w:bCs w:val="1"/>
                <w:color w:val="auto"/>
              </w:rPr>
              <w:t xml:space="preserve">($ in Millions) </w:t>
            </w:r>
            <w:r>
              <w:rPr>
                <w:rFonts w:ascii="Times New Roman" w:cs="Times New Roman" w:eastAsia="Times New Roman" w:hAnsi="Times New Roman"/>
                <w:sz w:val="16"/>
                <w:szCs w:val="16"/>
                <w:b w:val="1"/>
                <w:bCs w:val="1"/>
                <w:color w:val="auto"/>
                <w:vertAlign w:val="superscript"/>
              </w:rPr>
              <w:t>(3)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380" w:type="dxa"/>
            <w:vAlign w:val="bottom"/>
            <w:tcBorders>
              <w:top w:val="single" w:sz="8" w:color="auto"/>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5/2/22 - 5/31/22</w:t>
            </w: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0" w:type="dxa"/>
            <w:vAlign w:val="bottom"/>
          </w:tcPr>
          <w:p>
            <w:pPr>
              <w:spacing w:after="0"/>
              <w:rPr>
                <w:sz w:val="1"/>
                <w:szCs w:val="1"/>
                <w:color w:val="auto"/>
              </w:rPr>
            </w:pPr>
          </w:p>
        </w:tc>
      </w:tr>
      <w:tr>
        <w:trPr>
          <w:trHeight w:val="219"/>
        </w:trPr>
        <w:tc>
          <w:tcPr>
            <w:tcW w:w="44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6/1/22 - 6/30/22</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1,117,289</w:t>
            </w:r>
          </w:p>
        </w:tc>
        <w:tc>
          <w:tcPr>
            <w:tcW w:w="3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46.05</w:t>
            </w: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1,117,289</w:t>
            </w:r>
          </w:p>
        </w:tc>
        <w:tc>
          <w:tcPr>
            <w:tcW w:w="3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w:t>
            </w:r>
          </w:p>
        </w:tc>
        <w:tc>
          <w:tcPr>
            <w:tcW w:w="0" w:type="dxa"/>
            <w:vAlign w:val="bottom"/>
          </w:tcPr>
          <w:p>
            <w:pPr>
              <w:spacing w:after="0"/>
              <w:rPr>
                <w:sz w:val="1"/>
                <w:szCs w:val="1"/>
                <w:color w:val="auto"/>
              </w:rPr>
            </w:pPr>
          </w:p>
        </w:tc>
      </w:tr>
      <w:tr>
        <w:trPr>
          <w:trHeight w:val="219"/>
        </w:trPr>
        <w:tc>
          <w:tcPr>
            <w:tcW w:w="4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7/1/22 - 7/29/22</w:t>
            </w:r>
          </w:p>
        </w:tc>
        <w:tc>
          <w:tcPr>
            <w:tcW w:w="16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2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1,117,289</w:t>
            </w:r>
          </w:p>
        </w:tc>
        <w:tc>
          <w:tcPr>
            <w:tcW w:w="3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$46.05</w:t>
            </w:r>
          </w:p>
        </w:tc>
        <w:tc>
          <w:tcPr>
            <w:tcW w:w="38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1,117,289</w:t>
            </w:r>
          </w:p>
        </w:tc>
        <w:tc>
          <w:tcPr>
            <w:tcW w:w="3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w:t>
      </w:r>
    </w:p>
    <w:p>
      <w:pPr>
        <w:spacing w:after="0" w:line="38" w:lineRule="exact"/>
        <w:rPr>
          <w:sz w:val="20"/>
          <w:szCs w:val="20"/>
          <w:color w:val="auto"/>
        </w:rPr>
      </w:pPr>
    </w:p>
    <w:p>
      <w:pPr>
        <w:ind w:left="300" w:hanging="297"/>
        <w:spacing w:after="0"/>
        <w:tabs>
          <w:tab w:leader="none" w:pos="3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Shares purchased are as of the trade date.</w:t>
      </w:r>
    </w:p>
    <w:p>
      <w:pPr>
        <w:spacing w:after="0" w:line="52"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Average price paid per share is calculated on a settlement basis and excludes commission.</w:t>
      </w:r>
    </w:p>
    <w:p>
      <w:pPr>
        <w:spacing w:after="0" w:line="53" w:lineRule="exact"/>
        <w:rPr>
          <w:rFonts w:ascii="Times New Roman" w:cs="Times New Roman" w:eastAsia="Times New Roman" w:hAnsi="Times New Roman"/>
          <w:sz w:val="22"/>
          <w:szCs w:val="22"/>
          <w:color w:val="auto"/>
          <w:vertAlign w:val="superscript"/>
        </w:rPr>
      </w:pPr>
    </w:p>
    <w:p>
      <w:pPr>
        <w:jc w:val="both"/>
        <w:ind w:left="320" w:hanging="317"/>
        <w:spacing w:after="0"/>
        <w:tabs>
          <w:tab w:leader="none" w:pos="308"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June 2021, our Board of Directors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June 2021 program may be made in open-market or privately negotiated transactions. 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Reserved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7.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0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is provided as a supplement to, and should be read in conjunction with, our consolidated financial statements and the accompanying notes to the consolidated financial statements presented in "Financial Statements and Supplementary Data," as well as the information contained in "Risk Factors."</w:t>
      </w:r>
    </w:p>
    <w:p>
      <w:pPr>
        <w:spacing w:after="0" w:line="51" w:lineRule="exact"/>
        <w:rPr>
          <w:sz w:val="20"/>
          <w:szCs w:val="20"/>
          <w:color w:val="auto"/>
        </w:rPr>
      </w:pPr>
    </w:p>
    <w:p>
      <w:pPr>
        <w:ind w:right="1360" w:firstLine="309"/>
        <w:spacing w:after="0" w:line="355" w:lineRule="auto"/>
        <w:rPr>
          <w:sz w:val="20"/>
          <w:szCs w:val="20"/>
          <w:color w:val="auto"/>
        </w:rPr>
      </w:pPr>
      <w:r>
        <w:rPr>
          <w:rFonts w:ascii="Times New Roman" w:cs="Times New Roman" w:eastAsia="Times New Roman" w:hAnsi="Times New Roman"/>
          <w:sz w:val="17"/>
          <w:szCs w:val="17"/>
          <w:color w:val="auto"/>
        </w:rPr>
        <w:t xml:space="preserve">Unless otherwise stated, the terms "we," "us," "our" and the "company" refer to Campbell Soup Company and its consolidated subsidiaries. </w:t>
      </w:r>
      <w:r>
        <w:rPr>
          <w:rFonts w:ascii="Times New Roman" w:cs="Times New Roman" w:eastAsia="Times New Roman" w:hAnsi="Times New Roman"/>
          <w:sz w:val="17"/>
          <w:szCs w:val="17"/>
          <w:b w:val="1"/>
          <w:bCs w:val="1"/>
          <w:i w:val="1"/>
          <w:iCs w:val="1"/>
          <w:color w:val="auto"/>
        </w:rPr>
        <w:t>Executive Summary</w:t>
      </w:r>
    </w:p>
    <w:p>
      <w:pPr>
        <w:spacing w:after="0" w:line="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are a manufacturer and marketer of high-quality, branded food and beverage products. We operate in a highly competitive industry and experience competition in all of our categories.</w:t>
      </w:r>
    </w:p>
    <w:p>
      <w:pPr>
        <w:spacing w:after="0" w:line="36"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In 2022, we delivered solid full-year results while advancing our strategic plan in a volatile macroeconomic environment. During 2022, we navigated through a challenging environment marked by supply chain pressures, particularly around labor and high inflation. We enhanced and accelerated our recruiting efforts and hiring and onboarding processes, which improved our ability to meet sustained consumer demand. Our improved supply chain execution combined with inflation-driven pricing, continued supply chain productivity improvements and cost savings initiatives partially mitigated ongoing inflationary pressures experienced in 2022. We expect that inflation will continue to be a headwind in 2023. In addition, we expect a pre-tax headwind of approximately $35 million in 2023 related to lower net periodic pension and postretirement benefit income.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Strategy</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strategy is to unlock our full growth potential by focusing on our core brands in two divisions within North America while delivering on the promise of</w:t>
      </w:r>
    </w:p>
    <w:p>
      <w:pPr>
        <w:spacing w:after="0" w:line="4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our purpose - C</w:t>
      </w:r>
      <w:r>
        <w:rPr>
          <w:rFonts w:ascii="Times New Roman" w:cs="Times New Roman" w:eastAsia="Times New Roman" w:hAnsi="Times New Roman"/>
          <w:sz w:val="17"/>
          <w:szCs w:val="17"/>
          <w:i w:val="1"/>
          <w:iCs w:val="1"/>
          <w:color w:val="auto"/>
        </w:rPr>
        <w:t>onnecting people through food they love</w:t>
      </w:r>
      <w:r>
        <w:rPr>
          <w:rFonts w:ascii="Times New Roman" w:cs="Times New Roman" w:eastAsia="Times New Roman" w:hAnsi="Times New Roman"/>
          <w:sz w:val="17"/>
          <w:szCs w:val="17"/>
          <w:color w:val="auto"/>
        </w:rPr>
        <w:t>. Our strategic plan is based on four pillars: build a winning team and culture; accelerate profitable growth; fuel investments and margins with targeted cost savings; and deliver on the promise of our purpose all as further discussed below.</w:t>
      </w:r>
    </w:p>
    <w:p>
      <w:pPr>
        <w:spacing w:after="0" w:line="32"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plan to continue our focus on building a winning team and culture by investing in our employee experience and improving employee engagement, prioritizing our inclusion and diversity strategy and investing in strategic capabilities and digitization that support our core brands in North America. In addition, we plan to continue to deliver on the promise of our purpose with consumer transparency initiatives, progress on our sustainability goals and strengthening our connection to the communities in which we operate.</w:t>
      </w:r>
    </w:p>
    <w:p>
      <w:pPr>
        <w:spacing w:after="0" w:line="4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believe that we can accelerate our profitable growth model by growing market share and driving integrated business planning programming throughout the company. We expect to grow market share through the development of more consumer-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17" w:name="page18"/>
    <w:bookmarkEnd w:id="17"/>
    <w:p>
      <w:pPr>
        <w:jc w:val="both"/>
        <w:spacing w:after="0" w:line="264" w:lineRule="auto"/>
        <w:rPr>
          <w:sz w:val="20"/>
          <w:szCs w:val="20"/>
          <w:color w:val="auto"/>
        </w:rPr>
      </w:pPr>
      <w:r>
        <w:rPr>
          <w:rFonts w:ascii="Times New Roman" w:cs="Times New Roman" w:eastAsia="Times New Roman" w:hAnsi="Times New Roman"/>
          <w:sz w:val="17"/>
          <w:szCs w:val="17"/>
          <w:color w:val="auto"/>
        </w:rPr>
        <w:t>oriented product quality, marketing and innovation plans and prioritizing growth channels and retailers within our defined portfolio roles. In addition, we expect to continue to focus on accelerating the growth of our Snacks brands while also sustaining the growth in U.S. soup and our other core brands. We expect that changes in consumer behavior driven by the COVID-19 pandemic will continue to support ongoing elevated consumer demand for food at home, relative to pre-pandemic levels. We plan to capitalize on this opportunity by addressing evolving consumer needs through our unique and differentiated portfolio.</w:t>
      </w:r>
    </w:p>
    <w:p>
      <w:pPr>
        <w:spacing w:after="0" w:line="4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also expect to fuel investments and margins by continuing to focus on mitigating the effects of inflation. We implemented price increases beginning in 2022 and continue to pursue our multi-year cost savings initiatives with targeted annualized cost savings of $1 billion for continuing operations by the end of 2025, with $850 million in synergies and run-rate cost savings achieved through 2022. See "Restructuring Charges and Cost Savings Initiatives" for additional information on these initiatives.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Trends</w:t>
      </w:r>
    </w:p>
    <w:p>
      <w:pPr>
        <w:spacing w:after="0" w:line="105"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Our businesses are being influenced by a variety of trends that we anticipate will continue in the future, including: cost inflation; changing consumer preferences; and a competitive and dynamic retail environment.</w:t>
      </w:r>
    </w:p>
    <w:p>
      <w:pPr>
        <w:spacing w:after="0" w:line="23"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Our strategy is designed, in part, to capture growing consumer preferences for snacking and convenience. For example, we believe that consumers are changing their eating habits by increasing the type and frequency of snacks they consume and are continuing in-home eating behaviors that were driven by the COVID-19 pandemic.</w:t>
      </w:r>
    </w:p>
    <w:p>
      <w:pPr>
        <w:spacing w:after="0" w:line="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Retailers continue to use their buying power and negotiating strength to seek increased promotional programs funded by their suppliers and more favorable terms, including customized products funded by their suppliers. Any consolidations among retailers would continue to create large and sophisticated customers that may further this trend. Retailers also continue to grow and promote store brands that compete with branded products, especially on price.</w:t>
      </w:r>
    </w:p>
    <w:p>
      <w:pPr>
        <w:spacing w:after="0" w:line="5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Throughout 2022 we experienced elevated demand for our retail products versus pre-pandemic levels, but volumes were lower than fiscal 2021. In the first half of the year we experienced lower net sales due primarily to supply constraints based on materials availability and in the second half of the year, although supply significantly improved volumes declined due to inflation-driven pricing actions. We anticipate that demand related to at-home food consumption will remain elevated through 2023.</w:t>
      </w:r>
    </w:p>
    <w:p>
      <w:pPr>
        <w:spacing w:after="0" w:line="41"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also anticipate that 2023 will continue to be a dynamic macroeconomic environment, and expect input cost inflation to continue. We will continue to take actions to mitigate a portion of this inflationary pressure, but we do not expect such benefits will fully offset the incremental costs in 2023. Based on benefit obligations and plan assets as of July 31, 2022, net periodic pension and postretirement benefit income excluding any actuarial losses or gains is estimated to be approximately $35 million lower in 2023, subject to the impact of interim remeasurements. The decrease in 2023 is due to increases in discount rates used to determine the benefit obligations and a decline in the market value of plan assets.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Divestitures</w:t>
      </w:r>
    </w:p>
    <w:p>
      <w:pPr>
        <w:spacing w:after="0" w:line="105"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We completed the sale of our Kelsen business on September 23, 2019. On December 23, 2019, we completed the sale of our Arnott’s business and certain other international operations, including the simple meals and shelf-stable beverages businesses in Australia and Asia Pacific (the Arnott's and other international operations). Beginning in the fourth quarter of 2019, we have reflected the results of operations of the Kelsen business and the Arnott’s and other international operations (collectively referred to as Campbell International) as discontinued operations in the Consolidated Statements of Earnings for all periods presented. These businesses were historically included in the Snacks reportable segment. In addition, on October 11, 2019, we completed the sale of our European chips business. The results of the European chips business through the date of sale were reflected in continuing operations within the Snacks reportable segment.</w:t>
      </w:r>
    </w:p>
    <w:p>
      <w:pPr>
        <w:spacing w:after="0" w:line="48"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 the fourth quarter of 2021, we completed the sale of our Plum baby food and snacks business. The results of the Plum baby food and snacks business through the date of sale were reflected in continuing operations within the Meals &amp; Beverages reportable segment.</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Notes 3 and 6 to the Consolidated Financial Statements for additional information on these divestitures and reportable segments.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Summary of Results</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This Summary of Results provides significant highlights from the discussion and analysis that follows.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were 52 weeks in 2022 and 2021. There were 53 weeks in 2020.</w:t>
      </w:r>
    </w:p>
    <w:p>
      <w:pPr>
        <w:spacing w:after="0" w:line="101" w:lineRule="exact"/>
        <w:rPr>
          <w:sz w:val="20"/>
          <w:szCs w:val="20"/>
          <w:color w:val="auto"/>
        </w:rPr>
      </w:pPr>
    </w:p>
    <w:p>
      <w:pPr>
        <w:ind w:left="620" w:hanging="308"/>
        <w:spacing w:after="0" w:line="286"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sales increased 1% in 2022 to $8.562 billion as inflation-driven pricing and sales allowances were partially offset by volume declines, the impact from the divestiture of the Plum baby food and snack business and increased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18" w:name="page19"/>
    <w:bookmarkEnd w:id="18"/>
    <w:p>
      <w:pPr>
        <w:ind w:left="620"/>
        <w:spacing w:after="0"/>
        <w:rPr>
          <w:sz w:val="20"/>
          <w:szCs w:val="20"/>
          <w:color w:val="auto"/>
        </w:rPr>
      </w:pPr>
      <w:r>
        <w:rPr>
          <w:rFonts w:ascii="Times New Roman" w:cs="Times New Roman" w:eastAsia="Times New Roman" w:hAnsi="Times New Roman"/>
          <w:sz w:val="17"/>
          <w:szCs w:val="17"/>
          <w:color w:val="auto"/>
        </w:rPr>
        <w:t>promotional spending. Volumes declined primarily due to supply constraints driven by labor and materials availability and price elasticities.</w:t>
      </w:r>
    </w:p>
    <w:p>
      <w:pPr>
        <w:spacing w:after="0" w:line="88" w:lineRule="exact"/>
        <w:rPr>
          <w:sz w:val="20"/>
          <w:szCs w:val="20"/>
          <w:color w:val="auto"/>
        </w:rPr>
      </w:pPr>
    </w:p>
    <w:p>
      <w:pPr>
        <w:jc w:val="both"/>
        <w:ind w:left="620" w:hanging="308"/>
        <w:spacing w:after="0" w:line="269"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profit, as a percent of sales, decreased to 30.7% in 2022 from 33.2% a year ago. The decrease was primarily due to higher cost inflation, mark-to-market adjustments on outstanding undesignated commodity hedges and unfavorable volume/mix, partially offset by inflation-driven pricing actions and supply chain productivity improvements.</w:t>
      </w:r>
    </w:p>
    <w:p>
      <w:pPr>
        <w:spacing w:after="0" w:line="50"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per share from continuing operations were $2.51 in 2022, compared to $3.30 a year ago. The current year included expenses of $.34 and the prior year included gains of $.45 per share from items impacting comparability as discussed below.</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Earnings attributable to Campbell Soup Company - 2022 Compared with 2021</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items impacted the comparability of net earnings and net earnings per share:</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u w:val="single" w:color="auto"/>
          <w:color w:val="auto"/>
        </w:rPr>
        <w:t>Continuing Operations</w:t>
      </w:r>
    </w:p>
    <w:p>
      <w:pPr>
        <w:spacing w:after="0" w:line="105" w:lineRule="exact"/>
        <w:rPr>
          <w:sz w:val="20"/>
          <w:szCs w:val="20"/>
          <w:color w:val="auto"/>
        </w:rPr>
      </w:pPr>
    </w:p>
    <w:p>
      <w:pPr>
        <w:ind w:left="620" w:hanging="308"/>
        <w:spacing w:after="0" w:line="286"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2022, we recognized actuarial losses on our pension and postretirement plans in Other expenses / (income) of $44 million ($33 million after tax, or $.11 per share). In 2021, we recognized actuarial gains in Other expenses / (income) of $203 million ($155 million after tax, or $.51 per share);</w:t>
      </w:r>
    </w:p>
    <w:p>
      <w:pPr>
        <w:spacing w:after="0" w:line="23" w:lineRule="exact"/>
        <w:rPr>
          <w:rFonts w:ascii="Times New Roman" w:cs="Times New Roman" w:eastAsia="Times New Roman" w:hAnsi="Times New Roman"/>
          <w:sz w:val="17"/>
          <w:szCs w:val="17"/>
          <w:color w:val="auto"/>
        </w:rPr>
      </w:pPr>
    </w:p>
    <w:p>
      <w:pPr>
        <w:jc w:val="both"/>
        <w:ind w:left="620" w:hanging="308"/>
        <w:spacing w:after="0" w:line="269"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2022, we recognized losses in Cost of products sold of $59 million ($44 million after tax, or $.15 per share) associated with unrealized mark-to-market adjustments on outstanding undesignated commodity hedges. In 2021, we recognized gains in Cost of products sold of $50 million ($38 million after tax, or $.12 per share) associated with unrealized mark-to-market adjustments on outstanding undesignated commodity hedges;</w:t>
      </w:r>
    </w:p>
    <w:p>
      <w:pPr>
        <w:spacing w:after="0" w:line="50" w:lineRule="exact"/>
        <w:rPr>
          <w:rFonts w:ascii="Times New Roman" w:cs="Times New Roman" w:eastAsia="Times New Roman" w:hAnsi="Times New Roman"/>
          <w:sz w:val="17"/>
          <w:szCs w:val="17"/>
          <w:color w:val="auto"/>
        </w:rPr>
      </w:pPr>
    </w:p>
    <w:p>
      <w:pPr>
        <w:jc w:val="both"/>
        <w:ind w:left="620" w:hanging="308"/>
        <w:spacing w:after="0" w:line="259"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implemented several cost savings initiatives in recent years. In 2022, we recorded Restructuring charges of $5 million and implementation costs and other related costs of $20 million in Administrative expenses, $5 million in Cost of products sold and $1 million in Marketing and selling expenses (aggregate impact of $24 million after tax, or $.08 per share) related to these initiatives. In 2021, we recorded Restructuring charges of $21 million and implementation costs and other related costs of $28 million in Administrative expenses, $3 million in Cost of products sold and $1 million in Marketing and selling expenses (aggregate impact of $40 million after tax, or $.13 per share) related to these initiatives. See Note 7 to the Consolidated Financial Statements and "Restructuring Charges and Cost Savings Initiatives" for additional information;</w:t>
      </w:r>
    </w:p>
    <w:p>
      <w:pPr>
        <w:spacing w:after="0" w:line="6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2022, we recorded a loss in Interest expense of $4 million ($3 million after tax, or $.01 per share) on the extinguishment of debt;</w:t>
      </w:r>
    </w:p>
    <w:p>
      <w:pPr>
        <w:spacing w:after="0" w:line="87"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2021, we recorded a loss in Other expenses / (income) of $11 million (and a gain of $3 million after tax, or $.01 per share) on the sale of our Plum baby food and snacks business; and</w:t>
      </w:r>
    </w:p>
    <w:p>
      <w:pPr>
        <w:spacing w:after="0" w:line="36"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2021, we recorded a $19 million ($.06 per share) deferred tax charge in connection with a legal entity reorganization as part of the continued integration of Snyder's-Lance, Inc. (Snyder's-Lance).</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items impacting comparability are summarized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117"/>
              <w:spacing w:after="0" w:line="123" w:lineRule="exact"/>
              <w:rPr>
                <w:sz w:val="20"/>
                <w:szCs w:val="20"/>
                <w:color w:val="auto"/>
              </w:rPr>
            </w:pPr>
            <w:r>
              <w:rPr>
                <w:rFonts w:ascii="Times New Roman" w:cs="Times New Roman" w:eastAsia="Times New Roman" w:hAnsi="Times New Roman"/>
                <w:sz w:val="14"/>
                <w:szCs w:val="14"/>
                <w:b w:val="1"/>
                <w:bCs w:val="1"/>
                <w:color w:val="auto"/>
              </w:rPr>
              <w:t>EPS</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277"/>
              <w:spacing w:after="0" w:line="123" w:lineRule="exact"/>
              <w:rPr>
                <w:sz w:val="20"/>
                <w:szCs w:val="20"/>
                <w:color w:val="auto"/>
              </w:rPr>
            </w:pPr>
            <w:r>
              <w:rPr>
                <w:rFonts w:ascii="Times New Roman" w:cs="Times New Roman" w:eastAsia="Times New Roman" w:hAnsi="Times New Roman"/>
                <w:sz w:val="14"/>
                <w:szCs w:val="14"/>
                <w:b w:val="1"/>
                <w:bCs w:val="1"/>
                <w:color w:val="auto"/>
              </w:rPr>
              <w:t>EPS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6"/>
                <w:szCs w:val="16"/>
                <w:color w:val="auto"/>
              </w:rPr>
            </w:pPr>
          </w:p>
        </w:tc>
        <w:tc>
          <w:tcPr>
            <w:tcW w:w="7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Earnings from continuing operations attributable to Campbell Soup Company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960" w:type="dxa"/>
            <w:vAlign w:val="bottom"/>
            <w:gridSpan w:val="2"/>
          </w:tcPr>
          <w:p>
            <w:pPr>
              <w:spacing w:after="0" w:line="190" w:lineRule="exact"/>
              <w:rPr>
                <w:sz w:val="20"/>
                <w:szCs w:val="20"/>
                <w:color w:val="auto"/>
              </w:rPr>
            </w:pPr>
            <w:r>
              <w:rPr>
                <w:rFonts w:ascii="Times New Roman" w:cs="Times New Roman" w:eastAsia="Times New Roman" w:hAnsi="Times New Roman"/>
                <w:sz w:val="17"/>
                <w:szCs w:val="17"/>
                <w:color w:val="auto"/>
              </w:rPr>
              <w:t>Loss from discontinued operations</w:t>
            </w:r>
          </w:p>
        </w:tc>
        <w:tc>
          <w:tcPr>
            <w:tcW w:w="16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14"/>
              <w:spacing w:after="0" w:line="190"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6960" w:type="dxa"/>
            <w:vAlign w:val="bottom"/>
            <w:tcBorders>
              <w:bottom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Net earnings attributable to Campbell Soup Company</w:t>
            </w:r>
            <w:r>
              <w:rPr>
                <w:rFonts w:ascii="Times New Roman" w:cs="Times New Roman" w:eastAsia="Times New Roman" w:hAnsi="Times New Roman"/>
                <w:sz w:val="22"/>
                <w:szCs w:val="22"/>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w w:val="99"/>
              </w:rPr>
              <w:t>Continuing operations:</w:t>
            </w:r>
          </w:p>
        </w:tc>
        <w:tc>
          <w:tcPr>
            <w:tcW w:w="53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1580" w:type="dxa"/>
            <w:vAlign w:val="bottom"/>
            <w:tcBorders>
              <w:bottom w:val="single" w:sz="8" w:color="auto"/>
            </w:tcBorders>
            <w:vMerge w:val="continue"/>
          </w:tcPr>
          <w:p>
            <w:pPr>
              <w:spacing w:after="0"/>
              <w:rPr>
                <w:sz w:val="24"/>
                <w:szCs w:val="24"/>
                <w:color w:val="auto"/>
              </w:rPr>
            </w:pPr>
          </w:p>
        </w:tc>
        <w:tc>
          <w:tcPr>
            <w:tcW w:w="5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Pension and postretirement actuarial gains (losses)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Commodity mark-to-market gains (losses)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Restructuring charges, implementation costs and other related costs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associated with divestiture</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tax charge</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960" w:type="dxa"/>
            <w:vAlign w:val="bottom"/>
            <w:tcBorders>
              <w:top w:val="single" w:sz="8" w:color="CCEEFF"/>
              <w:bottom w:val="single" w:sz="8" w:color="CCEEFF"/>
            </w:tcBorders>
            <w:gridSpan w:val="2"/>
            <w:shd w:val="clear" w:color="auto" w:fill="CCEEFF"/>
          </w:tcPr>
          <w:p>
            <w:pPr>
              <w:spacing w:after="0" w:line="211" w:lineRule="exact"/>
              <w:rPr>
                <w:sz w:val="20"/>
                <w:szCs w:val="20"/>
                <w:color w:val="auto"/>
              </w:rPr>
            </w:pPr>
            <w:r>
              <w:rPr>
                <w:rFonts w:ascii="Times New Roman" w:cs="Times New Roman" w:eastAsia="Times New Roman" w:hAnsi="Times New Roman"/>
                <w:sz w:val="17"/>
                <w:szCs w:val="17"/>
                <w:color w:val="auto"/>
              </w:rPr>
              <w:t>Impact of items on Earnings from continuing operations</w:t>
            </w:r>
            <w:r>
              <w:rPr>
                <w:rFonts w:ascii="Times New Roman" w:cs="Times New Roman" w:eastAsia="Times New Roman" w:hAnsi="Times New Roman"/>
                <w:sz w:val="22"/>
                <w:szCs w:val="22"/>
                <w:color w:val="auto"/>
                <w:vertAlign w:val="superscript"/>
              </w:rPr>
              <w:t>(1)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__________________________________________</w:t>
      </w:r>
    </w:p>
    <w:p>
      <w:pPr>
        <w:spacing w:after="0" w:line="25" w:lineRule="exact"/>
        <w:rPr>
          <w:sz w:val="20"/>
          <w:szCs w:val="20"/>
          <w:color w:val="auto"/>
        </w:rPr>
      </w:pPr>
    </w:p>
    <w:p>
      <w:pPr>
        <w:ind w:left="300" w:hanging="297"/>
        <w:spacing w:after="0"/>
        <w:tabs>
          <w:tab w:leader="none" w:pos="30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Sum of the individual amounts may not add due to rounding.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19" w:name="page20"/>
    <w:bookmarkEnd w:id="19"/>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Earnings from continuing operations were $757 million ($2.51 per share) in 2022, compared to $1.008 billion ($3.30 per share) in 2021. After adjusting for items impacting comparability, earnings from continuing operations decreased reflecting lower gross profit, lower other income and higher administrative expenses, mostly offset by lower marketing and selling expenses, lower interest expense and a lower effective tax rate. Earnings per share benefited from a reduction in the weighted average diluted shares outstanding.</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"Discontinued Operations" for additional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Earnings attributable to Campbell Soup Company - 2021 Compared with 2020</w:t>
      </w:r>
    </w:p>
    <w:p>
      <w:pPr>
        <w:spacing w:after="0" w:line="107"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 addition to the 2021 items that impacted comparability of Net earnings discussed above, the following items impacted the comparability of net earnings and net earnings per share:</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u w:val="single" w:color="auto"/>
          <w:color w:val="auto"/>
        </w:rPr>
        <w:t>Continuing Operations</w:t>
      </w:r>
    </w:p>
    <w:p>
      <w:pPr>
        <w:spacing w:after="0" w:line="105" w:lineRule="exact"/>
        <w:rPr>
          <w:sz w:val="20"/>
          <w:szCs w:val="20"/>
          <w:color w:val="auto"/>
        </w:rPr>
      </w:pPr>
    </w:p>
    <w:p>
      <w:pPr>
        <w:ind w:left="620" w:hanging="308"/>
        <w:spacing w:after="0" w:line="286"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2020, we recognized actuarial losses on our pension and postretirement plans in Other expenses / (income) of $164 million ($125 million after tax, or $.41 per share);</w:t>
      </w:r>
    </w:p>
    <w:p>
      <w:pPr>
        <w:spacing w:after="0" w:line="36"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2020, we recognized gains in Cost of products sold of $2 million ($2 million after tax, or $.01 per share) associated with unrealized mark-to-market adjustments on outstanding undesignated commodity hedges;</w:t>
      </w:r>
    </w:p>
    <w:p>
      <w:pPr>
        <w:spacing w:after="0" w:line="23" w:lineRule="exact"/>
        <w:rPr>
          <w:rFonts w:ascii="Times New Roman" w:cs="Times New Roman" w:eastAsia="Times New Roman" w:hAnsi="Times New Roman"/>
          <w:sz w:val="17"/>
          <w:szCs w:val="17"/>
          <w:color w:val="auto"/>
        </w:rPr>
      </w:pPr>
    </w:p>
    <w:p>
      <w:pPr>
        <w:jc w:val="both"/>
        <w:ind w:left="620" w:hanging="308"/>
        <w:spacing w:after="0" w:line="264"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2020, we recorded Restructuring charges of $9 million and implementation costs and other related costs of $48 million in Administrative expenses, $9 million in Cost of products sold, $2 million in Marketing and selling expenses and $1 million in Research and development expenses (aggregate impact of $52 million after tax, or $.17 per share) related to the cost savings initiatives discussed above. See Note 7 to the Consolidated Financial Statements and "Restructuring Charges and Cost Savings Initiatives" for additional information;</w:t>
      </w:r>
    </w:p>
    <w:p>
      <w:pPr>
        <w:spacing w:after="0" w:line="54"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2020, we recorded a loss in Other expenses / (income) of $64 million ($37 million after tax, or $.12 per share) on the sale of our European chips business;</w:t>
      </w:r>
    </w:p>
    <w:p>
      <w:pPr>
        <w:spacing w:after="0" w:line="36" w:lineRule="exact"/>
        <w:rPr>
          <w:rFonts w:ascii="Times New Roman" w:cs="Times New Roman" w:eastAsia="Times New Roman" w:hAnsi="Times New Roman"/>
          <w:sz w:val="17"/>
          <w:szCs w:val="17"/>
          <w:color w:val="auto"/>
        </w:rPr>
      </w:pPr>
    </w:p>
    <w:p>
      <w:pPr>
        <w:jc w:val="both"/>
        <w:ind w:left="620" w:hanging="308"/>
        <w:spacing w:after="0" w:line="269"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26, 2020, we entered into an agreement to sell our limited partnership interest in Acre Venture Partners, L.P. (Acre). The transaction closed on May 8, 2020. In the third quarter of 2020, we recorded a loss in Other expenses / (income) of $45 million ($35 million after tax, or $.12 per share) as a result of the pending sale. See Note 14 to the Consolidated Financial Statements for additional information; and</w:t>
      </w:r>
    </w:p>
    <w:p>
      <w:pPr>
        <w:spacing w:after="0" w:line="38"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2020, we recorded a loss in Interest expense of $75 million ($57 million after tax, or $.19 per share) on the extinguishment of debt.</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u w:val="single" w:color="auto"/>
          <w:color w:val="auto"/>
        </w:rPr>
        <w:t>Discontinued Operations</w:t>
      </w:r>
    </w:p>
    <w:p>
      <w:pPr>
        <w:spacing w:after="0" w:line="105" w:lineRule="exact"/>
        <w:rPr>
          <w:sz w:val="20"/>
          <w:szCs w:val="20"/>
          <w:color w:val="auto"/>
        </w:rPr>
      </w:pPr>
    </w:p>
    <w:p>
      <w:pPr>
        <w:jc w:val="center"/>
        <w:ind w:left="5540" w:right="900" w:hanging="5228"/>
        <w:spacing w:after="0" w:line="934" w:lineRule="auto"/>
        <w:tabs>
          <w:tab w:leader="none" w:pos="61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2020, we recognized net gains of $1.039 billion ($1 billion after tax, or $3.29 per share) associated with the sale of Campbell International.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-256540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20" w:name="page21"/>
    <w:bookmarkEnd w:id="20"/>
    <w:p>
      <w:pPr>
        <w:ind w:left="320"/>
        <w:spacing w:after="0"/>
        <w:rPr>
          <w:sz w:val="20"/>
          <w:szCs w:val="20"/>
          <w:color w:val="auto"/>
        </w:rPr>
      </w:pPr>
      <w:r>
        <w:rPr>
          <w:rFonts w:ascii="Times New Roman" w:cs="Times New Roman" w:eastAsia="Times New Roman" w:hAnsi="Times New Roman"/>
          <w:sz w:val="17"/>
          <w:szCs w:val="17"/>
          <w:color w:val="auto"/>
        </w:rPr>
        <w:t>The items impacting comparability are summarized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116"/>
              <w:spacing w:after="0" w:line="122" w:lineRule="exact"/>
              <w:rPr>
                <w:sz w:val="20"/>
                <w:szCs w:val="20"/>
                <w:color w:val="auto"/>
              </w:rPr>
            </w:pPr>
            <w:r>
              <w:rPr>
                <w:rFonts w:ascii="Times New Roman" w:cs="Times New Roman" w:eastAsia="Times New Roman" w:hAnsi="Times New Roman"/>
                <w:sz w:val="14"/>
                <w:szCs w:val="14"/>
                <w:b w:val="1"/>
                <w:bCs w:val="1"/>
                <w:color w:val="auto"/>
              </w:rPr>
              <w:t>EPS</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276"/>
              <w:spacing w:after="0" w:line="122" w:lineRule="exact"/>
              <w:rPr>
                <w:sz w:val="20"/>
                <w:szCs w:val="20"/>
                <w:color w:val="auto"/>
              </w:rPr>
            </w:pPr>
            <w:r>
              <w:rPr>
                <w:rFonts w:ascii="Times New Roman" w:cs="Times New Roman" w:eastAsia="Times New Roman" w:hAnsi="Times New Roman"/>
                <w:sz w:val="14"/>
                <w:szCs w:val="14"/>
                <w:b w:val="1"/>
                <w:bCs w:val="1"/>
                <w:color w:val="auto"/>
              </w:rPr>
              <w:t>EPS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6"/>
                <w:szCs w:val="16"/>
                <w:color w:val="auto"/>
              </w:rPr>
            </w:pPr>
          </w:p>
        </w:tc>
        <w:tc>
          <w:tcPr>
            <w:tcW w:w="7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9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Earnings from continuing operations attributable to Campbell Soup Company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960" w:type="dxa"/>
            <w:vAlign w:val="bottom"/>
            <w:gridSpan w:val="3"/>
          </w:tcPr>
          <w:p>
            <w:pPr>
              <w:spacing w:after="0" w:line="190" w:lineRule="exact"/>
              <w:rPr>
                <w:sz w:val="20"/>
                <w:szCs w:val="20"/>
                <w:color w:val="auto"/>
              </w:rPr>
            </w:pPr>
            <w:r>
              <w:rPr>
                <w:rFonts w:ascii="Times New Roman" w:cs="Times New Roman" w:eastAsia="Times New Roman" w:hAnsi="Times New Roman"/>
                <w:sz w:val="17"/>
                <w:szCs w:val="17"/>
                <w:color w:val="auto"/>
              </w:rPr>
              <w:t>Earnings (loss) from discontinued operations</w:t>
            </w:r>
          </w:p>
        </w:tc>
        <w:tc>
          <w:tcPr>
            <w:tcW w:w="16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4"/>
              <w:spacing w:after="0" w:line="190"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1,036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3.41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6960" w:type="dxa"/>
            <w:vAlign w:val="bottom"/>
            <w:tcBorders>
              <w:bottom w:val="single" w:sz="8" w:color="CCEEFF"/>
            </w:tcBorders>
            <w:gridSpan w:val="3"/>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Net earnings attributable to Campbell Soup Company</w:t>
            </w:r>
            <w:r>
              <w:rPr>
                <w:rFonts w:ascii="Times New Roman" w:cs="Times New Roman" w:eastAsia="Times New Roman" w:hAnsi="Times New Roman"/>
                <w:sz w:val="22"/>
                <w:szCs w:val="22"/>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w w:val="99"/>
              </w:rPr>
              <w:t>Continuing operations:</w:t>
            </w:r>
          </w:p>
        </w:tc>
        <w:tc>
          <w:tcPr>
            <w:tcW w:w="538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1580" w:type="dxa"/>
            <w:vAlign w:val="bottom"/>
            <w:tcBorders>
              <w:bottom w:val="single" w:sz="8" w:color="auto"/>
            </w:tcBorders>
            <w:vMerge w:val="continue"/>
          </w:tcPr>
          <w:p>
            <w:pPr>
              <w:spacing w:after="0"/>
              <w:rPr>
                <w:sz w:val="24"/>
                <w:szCs w:val="24"/>
                <w:color w:val="auto"/>
              </w:rPr>
            </w:pPr>
          </w:p>
        </w:tc>
        <w:tc>
          <w:tcPr>
            <w:tcW w:w="53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Pension and postretirement actuarial gains (losses)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Commodity mark-to-market gains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Restructuring charges, implementation costs and other related costs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Gains (charges) associated with divestitures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charge</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Investment losses</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Impact of items on Earnings from continuing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Discontinued operations:</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0" w:type="dxa"/>
            <w:vAlign w:val="bottom"/>
          </w:tcPr>
          <w:p>
            <w:pPr>
              <w:spacing w:after="0"/>
              <w:rPr>
                <w:sz w:val="24"/>
                <w:szCs w:val="24"/>
                <w:color w:val="auto"/>
              </w:rPr>
            </w:pPr>
          </w:p>
        </w:tc>
        <w:tc>
          <w:tcPr>
            <w:tcW w:w="69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Gains associated with divestitures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Impact of items on Earnings (loss) from discontinued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__________________________________________</w:t>
      </w:r>
    </w:p>
    <w:p>
      <w:pPr>
        <w:spacing w:after="0" w:line="64" w:lineRule="exact"/>
        <w:rPr>
          <w:sz w:val="20"/>
          <w:szCs w:val="20"/>
          <w:color w:val="auto"/>
        </w:rPr>
      </w:pPr>
    </w:p>
    <w:p>
      <w:pPr>
        <w:ind w:left="300" w:hanging="297"/>
        <w:spacing w:after="0"/>
        <w:tabs>
          <w:tab w:leader="none" w:pos="30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Sum of the individual amounts may not add due to rounding.</w:t>
      </w:r>
    </w:p>
    <w:p>
      <w:pPr>
        <w:spacing w:after="0" w:line="80"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Earnings from continuing operations were $1.008 billion ($3.30 per share) in 2021, compared to $592 million ($1.95 per share) in 2020. After adjusting for items impacting comparability, earnings from continuing operations decreased reflecting a lower gross profit margin and sales volume declines, partially offset by lower marketing and selling expenses, lower interest expense and higher other income. The additional week contributed approximately $.04 per share to Earnings from continuing operations in 2020.</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"Discontinued Operations" for additional information.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DISCUSSION AND ANALYSIS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An analysis of net sales by reportable segment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line="20" w:lineRule="exact"/>
              <w:rPr>
                <w:sz w:val="1"/>
                <w:szCs w:val="1"/>
                <w:color w:val="auto"/>
              </w:rPr>
            </w:pPr>
          </w:p>
        </w:tc>
        <w:tc>
          <w:tcPr>
            <w:tcW w:w="1040" w:type="dxa"/>
            <w:vAlign w:val="bottom"/>
            <w:vMerge w:val="restart"/>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vMerge w:val="restart"/>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vMerge w:val="restart"/>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6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9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jc w:val="center"/>
              <w:ind w:left="263"/>
              <w:spacing w:after="0"/>
              <w:rPr>
                <w:sz w:val="20"/>
                <w:szCs w:val="20"/>
                <w:color w:val="auto"/>
              </w:rPr>
            </w:pPr>
            <w:r>
              <w:rPr>
                <w:rFonts w:ascii="Times New Roman" w:cs="Times New Roman" w:eastAsia="Times New Roman" w:hAnsi="Times New Roman"/>
                <w:sz w:val="14"/>
                <w:szCs w:val="14"/>
                <w:b w:val="1"/>
                <w:bCs w:val="1"/>
                <w:color w:val="auto"/>
              </w:rPr>
              <w:t>2022/2021</w:t>
            </w:r>
          </w:p>
        </w:tc>
        <w:tc>
          <w:tcPr>
            <w:tcW w:w="1800" w:type="dxa"/>
            <w:vAlign w:val="bottom"/>
            <w:tcBorders>
              <w:top w:val="single" w:sz="8" w:color="auto"/>
            </w:tcBorders>
            <w:gridSpan w:val="3"/>
          </w:tcPr>
          <w:p>
            <w:pPr>
              <w:jc w:val="center"/>
              <w:ind w:left="363"/>
              <w:spacing w:after="0"/>
              <w:rPr>
                <w:sz w:val="20"/>
                <w:szCs w:val="20"/>
                <w:color w:val="auto"/>
              </w:rPr>
            </w:pPr>
            <w:r>
              <w:rPr>
                <w:rFonts w:ascii="Times New Roman" w:cs="Times New Roman" w:eastAsia="Times New Roman" w:hAnsi="Times New Roman"/>
                <w:sz w:val="14"/>
                <w:szCs w:val="14"/>
                <w:b w:val="1"/>
                <w:bCs w:val="1"/>
                <w:color w:val="auto"/>
              </w:rPr>
              <w:t>2021/2020</w:t>
            </w:r>
          </w:p>
        </w:tc>
        <w:tc>
          <w:tcPr>
            <w:tcW w:w="0" w:type="dxa"/>
            <w:vAlign w:val="bottom"/>
          </w:tcPr>
          <w:p>
            <w:pPr>
              <w:spacing w:after="0"/>
              <w:rPr>
                <w:sz w:val="1"/>
                <w:szCs w:val="1"/>
                <w:color w:val="auto"/>
              </w:rPr>
            </w:pPr>
          </w:p>
        </w:tc>
      </w:tr>
      <w:tr>
        <w:trPr>
          <w:trHeight w:val="217"/>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Meals &amp; Beverages</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4,607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4,621</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4,747</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ind w:left="263"/>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9"/>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Snacks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3,855</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3,944</w:t>
            </w:r>
          </w:p>
        </w:tc>
        <w:tc>
          <w:tcPr>
            <w:tcW w:w="1160" w:type="dxa"/>
            <w:vAlign w:val="bottom"/>
            <w:tcBorders>
              <w:bottom w:val="single" w:sz="8" w:color="CCEEFF"/>
            </w:tcBorders>
            <w:gridSpan w:val="2"/>
          </w:tcPr>
          <w:p>
            <w:pPr>
              <w:jc w:val="center"/>
              <w:ind w:left="354"/>
              <w:spacing w:after="0"/>
              <w:rPr>
                <w:sz w:val="20"/>
                <w:szCs w:val="20"/>
                <w:color w:val="auto"/>
              </w:rPr>
            </w:pPr>
            <w:r>
              <w:rPr>
                <w:rFonts w:ascii="Times New Roman" w:cs="Times New Roman" w:eastAsia="Times New Roman" w:hAnsi="Times New Roman"/>
                <w:sz w:val="17"/>
                <w:szCs w:val="17"/>
                <w:color w:val="auto"/>
                <w:w w:val="93"/>
              </w:rPr>
              <w:t>3</w:t>
            </w:r>
          </w:p>
        </w:tc>
        <w:tc>
          <w:tcPr>
            <w:tcW w:w="1800" w:type="dxa"/>
            <w:vAlign w:val="bottom"/>
            <w:tcBorders>
              <w:bottom w:val="single" w:sz="8" w:color="CCEEFF"/>
            </w:tcBorders>
            <w:gridSpan w:val="3"/>
          </w:tcPr>
          <w:p>
            <w:pPr>
              <w:jc w:val="center"/>
              <w:ind w:left="363"/>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8,562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8,476</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8,691</w:t>
            </w:r>
          </w:p>
        </w:tc>
        <w:tc>
          <w:tcPr>
            <w:tcW w:w="1160" w:type="dxa"/>
            <w:vAlign w:val="bottom"/>
            <w:tcBorders>
              <w:bottom w:val="single" w:sz="8" w:color="CCEEFF"/>
            </w:tcBorders>
            <w:gridSpan w:val="2"/>
            <w:shd w:val="clear" w:color="auto" w:fill="CCEEFF"/>
          </w:tcPr>
          <w:p>
            <w:pPr>
              <w:jc w:val="center"/>
              <w:ind w:left="354"/>
              <w:spacing w:after="0"/>
              <w:rPr>
                <w:sz w:val="20"/>
                <w:szCs w:val="20"/>
                <w:color w:val="auto"/>
              </w:rPr>
            </w:pPr>
            <w:r>
              <w:rPr>
                <w:rFonts w:ascii="Times New Roman" w:cs="Times New Roman" w:eastAsia="Times New Roman" w:hAnsi="Times New Roman"/>
                <w:sz w:val="17"/>
                <w:szCs w:val="17"/>
                <w:color w:val="auto"/>
                <w:w w:val="93"/>
              </w:rPr>
              <w:t>1</w:t>
            </w:r>
          </w:p>
        </w:tc>
        <w:tc>
          <w:tcPr>
            <w:tcW w:w="1800" w:type="dxa"/>
            <w:vAlign w:val="bottom"/>
            <w:tcBorders>
              <w:bottom w:val="single" w:sz="8" w:color="CCEEFF"/>
            </w:tcBorders>
            <w:gridSpan w:val="3"/>
            <w:shd w:val="clear" w:color="auto" w:fill="CCEEFF"/>
          </w:tcPr>
          <w:p>
            <w:pPr>
              <w:jc w:val="center"/>
              <w:ind w:left="363"/>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21" w:name="page22"/>
    <w:bookmarkEnd w:id="21"/>
    <w:p>
      <w:pPr>
        <w:ind w:left="320"/>
        <w:spacing w:after="0"/>
        <w:rPr>
          <w:sz w:val="20"/>
          <w:szCs w:val="20"/>
          <w:color w:val="auto"/>
        </w:rPr>
      </w:pPr>
      <w:r>
        <w:rPr>
          <w:rFonts w:ascii="Times New Roman" w:cs="Times New Roman" w:eastAsia="Times New Roman" w:hAnsi="Times New Roman"/>
          <w:sz w:val="17"/>
          <w:szCs w:val="17"/>
          <w:color w:val="auto"/>
        </w:rPr>
        <w:t>An analysis of percent change of net sales by reportable segment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2022 versus 2021</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Meals &amp; Beverages</w:t>
            </w:r>
            <w:r>
              <w:rPr>
                <w:rFonts w:ascii="Times New Roman" w:cs="Times New Roman" w:eastAsia="Times New Roman" w:hAnsi="Times New Roman"/>
                <w:sz w:val="8"/>
                <w:szCs w:val="8"/>
                <w:b w:val="1"/>
                <w:bCs w:val="1"/>
                <w:color w:val="auto"/>
                <w:w w:val="98"/>
              </w:rPr>
              <w:t>(2)</w:t>
            </w:r>
          </w:p>
        </w:tc>
        <w:tc>
          <w:tcPr>
            <w:tcW w:w="16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Snacks</w:t>
            </w:r>
            <w:r>
              <w:rPr>
                <w:rFonts w:ascii="Times New Roman" w:cs="Times New Roman" w:eastAsia="Times New Roman" w:hAnsi="Times New Roman"/>
                <w:sz w:val="8"/>
                <w:szCs w:val="8"/>
                <w:b w:val="1"/>
                <w:bCs w:val="1"/>
                <w:color w:val="auto"/>
              </w:rPr>
              <w:t>(2)</w:t>
            </w:r>
          </w:p>
        </w:tc>
        <w:tc>
          <w:tcPr>
            <w:tcW w:w="15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Volume and mix</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(6)%</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Price and sales allowances</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17"/>
                <w:szCs w:val="17"/>
                <w:color w:val="auto"/>
              </w:rPr>
              <w:t>Decreased/(increased) promotional spending</w:t>
            </w:r>
            <w:r>
              <w:rPr>
                <w:rFonts w:ascii="Times New Roman" w:cs="Times New Roman" w:eastAsia="Times New Roman" w:hAnsi="Times New Roman"/>
                <w:sz w:val="22"/>
                <w:szCs w:val="22"/>
                <w:color w:val="auto"/>
                <w:vertAlign w:val="superscript"/>
              </w:rPr>
              <w:t>(1)</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Divestiture</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514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2021 versus 2020</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6380" w:type="dxa"/>
            <w:vAlign w:val="bottom"/>
            <w:gridSpan w:val="2"/>
            <w:vMerge w:val="continue"/>
          </w:tcPr>
          <w:p>
            <w:pPr>
              <w:spacing w:after="0"/>
              <w:rPr>
                <w:sz w:val="23"/>
                <w:szCs w:val="23"/>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Meals &amp; Beverages</w:t>
            </w:r>
          </w:p>
        </w:tc>
        <w:tc>
          <w:tcPr>
            <w:tcW w:w="16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Snacks</w:t>
            </w:r>
            <w:r>
              <w:rPr>
                <w:rFonts w:ascii="Times New Roman" w:cs="Times New Roman" w:eastAsia="Times New Roman" w:hAnsi="Times New Roman"/>
                <w:sz w:val="17"/>
                <w:szCs w:val="17"/>
                <w:b w:val="1"/>
                <w:bCs w:val="1"/>
                <w:color w:val="auto"/>
                <w:vertAlign w:val="superscript"/>
              </w:rPr>
              <w:t>(2)</w:t>
            </w:r>
          </w:p>
        </w:tc>
        <w:tc>
          <w:tcPr>
            <w:tcW w:w="15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7"/>
                <w:szCs w:val="17"/>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Volume and mix</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Price and sales allowances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17"/>
                <w:szCs w:val="17"/>
                <w:color w:val="auto"/>
              </w:rPr>
              <w:t>Decreased/(increased) promotional spending</w:t>
            </w:r>
            <w:r>
              <w:rPr>
                <w:rFonts w:ascii="Times New Roman" w:cs="Times New Roman" w:eastAsia="Times New Roman" w:hAnsi="Times New Roman"/>
                <w:sz w:val="22"/>
                <w:szCs w:val="22"/>
                <w:color w:val="auto"/>
                <w:vertAlign w:val="superscript"/>
              </w:rPr>
              <w:t>(1)</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Divestiture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17"/>
                <w:szCs w:val="17"/>
                <w:color w:val="auto"/>
              </w:rPr>
              <w:t>Estimated impact of 53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7"/>
                <w:szCs w:val="17"/>
                <w:color w:val="auto"/>
              </w:rPr>
              <w:t xml:space="preserve"> week</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(3)%</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__________________________________________</w:t>
      </w:r>
    </w:p>
    <w:p>
      <w:pPr>
        <w:spacing w:after="0" w:line="25" w:lineRule="exact"/>
        <w:rPr>
          <w:sz w:val="20"/>
          <w:szCs w:val="20"/>
          <w:color w:val="auto"/>
        </w:rPr>
      </w:pPr>
    </w:p>
    <w:p>
      <w:pPr>
        <w:ind w:left="300" w:hanging="297"/>
        <w:spacing w:after="0"/>
        <w:tabs>
          <w:tab w:leader="none" w:pos="30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revenue reductions from trade promotion and consumer coupon redemption programs.</w:t>
      </w:r>
    </w:p>
    <w:p>
      <w:pPr>
        <w:spacing w:after="0" w:line="1"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Sum of the individual amounts does not add due to rounding.</w:t>
      </w:r>
    </w:p>
    <w:p>
      <w:pPr>
        <w:spacing w:after="0" w:line="74"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 xml:space="preserve">In 2022, Meals &amp; Beverages sales were comparable with prior year. Excluding the impact from the divestiture of the Plum baby food and snacks business, sales increased primarily due to increases in U.S. soup and foodservice, partially offset by declines in </w:t>
      </w:r>
      <w:r>
        <w:rPr>
          <w:rFonts w:ascii="Times New Roman" w:cs="Times New Roman" w:eastAsia="Times New Roman" w:hAnsi="Times New Roman"/>
          <w:sz w:val="17"/>
          <w:szCs w:val="17"/>
          <w:i w:val="1"/>
          <w:iCs w:val="1"/>
          <w:color w:val="auto"/>
        </w:rPr>
        <w:t>V8</w:t>
      </w:r>
      <w:r>
        <w:rPr>
          <w:rFonts w:ascii="Times New Roman" w:cs="Times New Roman" w:eastAsia="Times New Roman" w:hAnsi="Times New Roman"/>
          <w:sz w:val="17"/>
          <w:szCs w:val="17"/>
          <w:color w:val="auto"/>
        </w:rPr>
        <w:t xml:space="preserve"> beverages. Inflation-driven pricing and sales allowances were partially offset by increased promotional spending. Volume decreased primarily due to supply constraints driven by labor and materials availability and price elasticities. Sales of U.S. soup increased 3%, due to increases in ready-to-serve soups, condensed soups and broth.</w:t>
      </w:r>
    </w:p>
    <w:p>
      <w:pPr>
        <w:spacing w:after="0" w:line="41" w:lineRule="exact"/>
        <w:rPr>
          <w:sz w:val="20"/>
          <w:szCs w:val="20"/>
          <w:color w:val="auto"/>
        </w:rPr>
      </w:pPr>
    </w:p>
    <w:p>
      <w:pPr>
        <w:jc w:val="both"/>
        <w:ind w:firstLine="309"/>
        <w:spacing w:after="0"/>
        <w:rPr>
          <w:sz w:val="20"/>
          <w:szCs w:val="20"/>
          <w:color w:val="auto"/>
        </w:rPr>
      </w:pPr>
      <w:r>
        <w:rPr>
          <w:rFonts w:ascii="Times New Roman" w:cs="Times New Roman" w:eastAsia="Times New Roman" w:hAnsi="Times New Roman"/>
          <w:sz w:val="17"/>
          <w:szCs w:val="17"/>
          <w:color w:val="auto"/>
        </w:rPr>
        <w:t>In 2021, Meals &amp; Beverages sales decreased 3%. Excluding the impact of the 53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7"/>
          <w:szCs w:val="17"/>
          <w:color w:val="auto"/>
        </w:rPr>
        <w:t xml:space="preserve"> week, sales decreased primarily due to declines in foodservice, partially offset by gains in </w:t>
      </w:r>
      <w:r>
        <w:rPr>
          <w:rFonts w:ascii="Times New Roman" w:cs="Times New Roman" w:eastAsia="Times New Roman" w:hAnsi="Times New Roman"/>
          <w:sz w:val="17"/>
          <w:szCs w:val="17"/>
          <w:i w:val="1"/>
          <w:iCs w:val="1"/>
          <w:color w:val="auto"/>
        </w:rPr>
        <w:t>V8</w:t>
      </w:r>
      <w:r>
        <w:rPr>
          <w:rFonts w:ascii="Times New Roman" w:cs="Times New Roman" w:eastAsia="Times New Roman" w:hAnsi="Times New Roman"/>
          <w:sz w:val="17"/>
          <w:szCs w:val="17"/>
          <w:color w:val="auto"/>
        </w:rPr>
        <w:t xml:space="preserve"> beverages. Foodservice sales were negatively impacted by shifts in consumer behavior and continued COVID-19 related restrictions. Including a 1-point impact from the additional week, sales of U.S. soup decreased 1% due to declines in condensed soups and ready-to-serve soups, partially offset by gains in broth.</w:t>
      </w:r>
    </w:p>
    <w:p>
      <w:pPr>
        <w:spacing w:after="0" w:line="75"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 xml:space="preserve">In 2022, Snacks sales increased 3% driven by sales of our power brands which increased 7%. Sales increased due to increases in cookies and crackers, primarily </w:t>
      </w:r>
      <w:r>
        <w:rPr>
          <w:rFonts w:ascii="Times New Roman" w:cs="Times New Roman" w:eastAsia="Times New Roman" w:hAnsi="Times New Roman"/>
          <w:sz w:val="17"/>
          <w:szCs w:val="17"/>
          <w:i w:val="1"/>
          <w:iCs w:val="1"/>
          <w:color w:val="auto"/>
        </w:rPr>
        <w:t>Goldfish</w:t>
      </w:r>
      <w:r>
        <w:rPr>
          <w:rFonts w:ascii="Times New Roman" w:cs="Times New Roman" w:eastAsia="Times New Roman" w:hAnsi="Times New Roman"/>
          <w:sz w:val="17"/>
          <w:szCs w:val="17"/>
          <w:color w:val="auto"/>
        </w:rPr>
        <w:t xml:space="preserve"> crackers, and in salty snacks, primarily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pretzels and </w:t>
      </w:r>
      <w:r>
        <w:rPr>
          <w:rFonts w:ascii="Times New Roman" w:cs="Times New Roman" w:eastAsia="Times New Roman" w:hAnsi="Times New Roman"/>
          <w:sz w:val="17"/>
          <w:szCs w:val="17"/>
          <w:i w:val="1"/>
          <w:iCs w:val="1"/>
          <w:color w:val="auto"/>
        </w:rPr>
        <w:t>Kettle Brand</w:t>
      </w:r>
      <w:r>
        <w:rPr>
          <w:rFonts w:ascii="Times New Roman" w:cs="Times New Roman" w:eastAsia="Times New Roman" w:hAnsi="Times New Roman"/>
          <w:sz w:val="17"/>
          <w:szCs w:val="17"/>
          <w:color w:val="auto"/>
        </w:rPr>
        <w:t xml:space="preserve"> potato chips which more than offset declines in </w:t>
      </w:r>
      <w:r>
        <w:rPr>
          <w:rFonts w:ascii="Times New Roman" w:cs="Times New Roman" w:eastAsia="Times New Roman" w:hAnsi="Times New Roman"/>
          <w:sz w:val="17"/>
          <w:szCs w:val="17"/>
          <w:i w:val="1"/>
          <w:iCs w:val="1"/>
          <w:color w:val="auto"/>
        </w:rPr>
        <w:t>Late July</w:t>
      </w:r>
      <w:r>
        <w:rPr>
          <w:rFonts w:ascii="Times New Roman" w:cs="Times New Roman" w:eastAsia="Times New Roman" w:hAnsi="Times New Roman"/>
          <w:sz w:val="17"/>
          <w:szCs w:val="17"/>
          <w:color w:val="auto"/>
        </w:rPr>
        <w:t xml:space="preserve"> snacks, partially offset by declines in non-core businesses. Inflation-driven pricing and sales allowances were partly offset by volume declines. Volumes declined driven by supply constraints due to labor and materials availability and price elasticities</w:t>
      </w:r>
      <w:r>
        <w:rPr>
          <w:rFonts w:ascii="Calibri" w:cs="Calibri" w:eastAsia="Calibri" w:hAnsi="Calibri"/>
          <w:sz w:val="17"/>
          <w:szCs w:val="17"/>
          <w:color w:val="auto"/>
        </w:rPr>
        <w:t>.</w:t>
      </w:r>
    </w:p>
    <w:p>
      <w:pPr>
        <w:spacing w:after="0" w:line="69" w:lineRule="exact"/>
        <w:rPr>
          <w:sz w:val="20"/>
          <w:szCs w:val="20"/>
          <w:color w:val="auto"/>
        </w:rPr>
      </w:pPr>
    </w:p>
    <w:p>
      <w:pPr>
        <w:jc w:val="both"/>
        <w:ind w:firstLine="309"/>
        <w:spacing w:after="0"/>
        <w:rPr>
          <w:sz w:val="20"/>
          <w:szCs w:val="20"/>
          <w:color w:val="auto"/>
        </w:rPr>
      </w:pPr>
      <w:r>
        <w:rPr>
          <w:rFonts w:ascii="Times New Roman" w:cs="Times New Roman" w:eastAsia="Times New Roman" w:hAnsi="Times New Roman"/>
          <w:sz w:val="17"/>
          <w:szCs w:val="17"/>
          <w:color w:val="auto"/>
        </w:rPr>
        <w:t>In 2021, Snacks sales decreased 2%. Excluding the impact of the 53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7"/>
          <w:szCs w:val="17"/>
          <w:color w:val="auto"/>
        </w:rPr>
        <w:t xml:space="preserve"> week and the divestiture of the European chips business, sales were comparable driven by volume declines mostly offset by lower levels of promotional spending. Declines in partner brands and </w:t>
      </w:r>
      <w:r>
        <w:rPr>
          <w:rFonts w:ascii="Times New Roman" w:cs="Times New Roman" w:eastAsia="Times New Roman" w:hAnsi="Times New Roman"/>
          <w:sz w:val="17"/>
          <w:szCs w:val="17"/>
          <w:i w:val="1"/>
          <w:iCs w:val="1"/>
          <w:color w:val="auto"/>
        </w:rPr>
        <w:t>Lance</w:t>
      </w:r>
      <w:r>
        <w:rPr>
          <w:rFonts w:ascii="Times New Roman" w:cs="Times New Roman" w:eastAsia="Times New Roman" w:hAnsi="Times New Roman"/>
          <w:sz w:val="17"/>
          <w:szCs w:val="17"/>
          <w:color w:val="auto"/>
        </w:rPr>
        <w:t xml:space="preserve"> sandwich crackers were mostly offset by gains in salty snacks, including </w:t>
      </w:r>
      <w:r>
        <w:rPr>
          <w:rFonts w:ascii="Times New Roman" w:cs="Times New Roman" w:eastAsia="Times New Roman" w:hAnsi="Times New Roman"/>
          <w:sz w:val="17"/>
          <w:szCs w:val="17"/>
          <w:i w:val="1"/>
          <w:iCs w:val="1"/>
          <w:color w:val="auto"/>
        </w:rPr>
        <w:t>Late July</w:t>
      </w:r>
      <w:r>
        <w:rPr>
          <w:rFonts w:ascii="Times New Roman" w:cs="Times New Roman" w:eastAsia="Times New Roman" w:hAnsi="Times New Roman"/>
          <w:sz w:val="17"/>
          <w:szCs w:val="17"/>
          <w:color w:val="auto"/>
        </w:rPr>
        <w:t xml:space="preserve"> snacks and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pretzels, and in </w:t>
      </w:r>
      <w:r>
        <w:rPr>
          <w:rFonts w:ascii="Times New Roman" w:cs="Times New Roman" w:eastAsia="Times New Roman" w:hAnsi="Times New Roman"/>
          <w:sz w:val="17"/>
          <w:szCs w:val="17"/>
          <w:i w:val="1"/>
          <w:iCs w:val="1"/>
          <w:color w:val="auto"/>
        </w:rPr>
        <w:t>Goldfish</w:t>
      </w:r>
      <w:r>
        <w:rPr>
          <w:rFonts w:ascii="Times New Roman" w:cs="Times New Roman" w:eastAsia="Times New Roman" w:hAnsi="Times New Roman"/>
          <w:sz w:val="17"/>
          <w:szCs w:val="17"/>
          <w:color w:val="auto"/>
        </w:rPr>
        <w:t xml:space="preserve"> crackers. Partner brands consist of third-party branded products that we sell.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Profit</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Gross profit, defined as Net sales less Cost of products sold, decreased by $184 million in 2022 from 2021 and decreased by $188 million in 2021 from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percent of sales, gross profit was 30.7% in 2022, 33.2% in 2021 and 34.5% in 2020.</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22" w:name="page23"/>
    <w:bookmarkEnd w:id="22"/>
    <w:p>
      <w:pPr>
        <w:ind w:left="320"/>
        <w:spacing w:after="0"/>
        <w:rPr>
          <w:sz w:val="20"/>
          <w:szCs w:val="20"/>
          <w:color w:val="auto"/>
        </w:rPr>
      </w:pPr>
      <w:r>
        <w:rPr>
          <w:rFonts w:ascii="Times New Roman" w:cs="Times New Roman" w:eastAsia="Times New Roman" w:hAnsi="Times New Roman"/>
          <w:sz w:val="17"/>
          <w:szCs w:val="17"/>
          <w:color w:val="auto"/>
        </w:rPr>
        <w:t>The 250 basis-point decrease and the 130 basis-point decrease in gross profit margin in 2022 and 2021, respectively, were due to the following factors: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Margin Impact</w:t>
            </w:r>
          </w:p>
        </w:tc>
      </w:tr>
      <w:tr>
        <w:trPr>
          <w:trHeight w:val="22"/>
        </w:trPr>
        <w:tc>
          <w:tcPr>
            <w:tcW w:w="8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gridSpan w:val="3"/>
          </w:tcPr>
          <w:p>
            <w:pPr>
              <w:spacing w:after="0" w:line="20" w:lineRule="exact"/>
              <w:rPr>
                <w:sz w:val="1"/>
                <w:szCs w:val="1"/>
                <w:color w:val="auto"/>
              </w:rPr>
            </w:pPr>
          </w:p>
        </w:tc>
      </w:tr>
      <w:tr>
        <w:trPr>
          <w:trHeight w:val="181"/>
        </w:trPr>
        <w:tc>
          <w:tcPr>
            <w:tcW w:w="8640" w:type="dxa"/>
            <w:vAlign w:val="bottom"/>
          </w:tcPr>
          <w:p>
            <w:pPr>
              <w:spacing w:after="0"/>
              <w:rPr>
                <w:sz w:val="15"/>
                <w:szCs w:val="15"/>
                <w:color w:val="auto"/>
              </w:rPr>
            </w:pPr>
          </w:p>
        </w:tc>
        <w:tc>
          <w:tcPr>
            <w:tcW w:w="820" w:type="dxa"/>
            <w:vAlign w:val="bottom"/>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760" w:type="dxa"/>
            <w:vAlign w:val="bottom"/>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7"/>
        </w:trPr>
        <w:tc>
          <w:tcPr>
            <w:tcW w:w="8640" w:type="dxa"/>
            <w:vAlign w:val="bottom"/>
            <w:tcBorders>
              <w:top w:val="single" w:sz="8" w:color="CCEEFF"/>
            </w:tcBorders>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Cost inflation, supply chain costs and other factors</w:t>
            </w:r>
            <w:r>
              <w:rPr>
                <w:rFonts w:ascii="Times New Roman" w:cs="Times New Roman" w:eastAsia="Times New Roman" w:hAnsi="Times New Roman"/>
                <w:sz w:val="22"/>
                <w:szCs w:val="22"/>
                <w:color w:val="auto"/>
                <w:vertAlign w:val="superscript"/>
              </w:rPr>
              <w:t>(1)</w:t>
            </w:r>
          </w:p>
        </w:tc>
        <w:tc>
          <w:tcPr>
            <w:tcW w:w="820" w:type="dxa"/>
            <w:vAlign w:val="bottom"/>
            <w:tcBorders>
              <w:top w:val="single" w:sz="8" w:color="auto"/>
            </w:tcBorders>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b w:val="1"/>
                <w:bCs w:val="1"/>
                <w:color w:val="auto"/>
                <w:w w:val="97"/>
              </w:rPr>
              <w:t>(810)</w:t>
            </w: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(320)</w:t>
            </w:r>
          </w:p>
        </w:tc>
      </w:tr>
      <w:tr>
        <w:trPr>
          <w:trHeight w:val="219"/>
        </w:trPr>
        <w:tc>
          <w:tcPr>
            <w:tcW w:w="86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Volume/mix</w:t>
            </w:r>
            <w:r>
              <w:rPr>
                <w:rFonts w:ascii="Times New Roman" w:cs="Times New Roman" w:eastAsia="Times New Roman" w:hAnsi="Times New Roman"/>
                <w:sz w:val="22"/>
                <w:szCs w:val="22"/>
                <w:color w:val="auto"/>
                <w:vertAlign w:val="superscript"/>
              </w:rPr>
              <w:t>(2)</w:t>
            </w:r>
          </w:p>
        </w:tc>
        <w:tc>
          <w:tcPr>
            <w:tcW w:w="820" w:type="dxa"/>
            <w:vAlign w:val="bottom"/>
          </w:tcPr>
          <w:p>
            <w:pPr>
              <w:jc w:val="center"/>
              <w:ind w:left="336"/>
              <w:spacing w:after="0"/>
              <w:rPr>
                <w:sz w:val="20"/>
                <w:szCs w:val="20"/>
                <w:color w:val="auto"/>
              </w:rPr>
            </w:pPr>
            <w:r>
              <w:rPr>
                <w:rFonts w:ascii="Times New Roman" w:cs="Times New Roman" w:eastAsia="Times New Roman" w:hAnsi="Times New Roman"/>
                <w:sz w:val="17"/>
                <w:szCs w:val="17"/>
                <w:b w:val="1"/>
                <w:bCs w:val="1"/>
                <w:color w:val="auto"/>
                <w:w w:val="97"/>
              </w:rPr>
              <w:t>(130)</w:t>
            </w:r>
          </w:p>
        </w:tc>
        <w:tc>
          <w:tcPr>
            <w:tcW w:w="1760" w:type="dxa"/>
            <w:vAlign w:val="bottom"/>
            <w:gridSpan w:val="3"/>
          </w:tcPr>
          <w:p>
            <w:pPr>
              <w:jc w:val="center"/>
              <w:ind w:left="439"/>
              <w:spacing w:after="0"/>
              <w:rPr>
                <w:sz w:val="20"/>
                <w:szCs w:val="20"/>
                <w:color w:val="auto"/>
              </w:rPr>
            </w:pPr>
            <w:r>
              <w:rPr>
                <w:rFonts w:ascii="Times New Roman" w:cs="Times New Roman" w:eastAsia="Times New Roman" w:hAnsi="Times New Roman"/>
                <w:sz w:val="17"/>
                <w:szCs w:val="17"/>
                <w:color w:val="auto"/>
                <w:w w:val="98"/>
              </w:rPr>
              <w:t>(40)</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Lower/(higher) level of promotional spending</w:t>
            </w:r>
          </w:p>
        </w:tc>
        <w:tc>
          <w:tcPr>
            <w:tcW w:w="820" w:type="dxa"/>
            <w:vAlign w:val="bottom"/>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b w:val="1"/>
                <w:bCs w:val="1"/>
                <w:color w:val="auto"/>
                <w:w w:val="98"/>
              </w:rPr>
              <w:t>(50)</w:t>
            </w:r>
          </w:p>
        </w:tc>
        <w:tc>
          <w:tcPr>
            <w:tcW w:w="1760" w:type="dxa"/>
            <w:vAlign w:val="bottom"/>
            <w:gridSpan w:val="3"/>
            <w:shd w:val="clear" w:color="auto" w:fill="CCEEFF"/>
          </w:tcPr>
          <w:p>
            <w:pPr>
              <w:jc w:val="center"/>
              <w:ind w:left="439"/>
              <w:spacing w:after="0"/>
              <w:rPr>
                <w:sz w:val="20"/>
                <w:szCs w:val="20"/>
                <w:color w:val="auto"/>
              </w:rPr>
            </w:pPr>
            <w:r>
              <w:rPr>
                <w:rFonts w:ascii="Times New Roman" w:cs="Times New Roman" w:eastAsia="Times New Roman" w:hAnsi="Times New Roman"/>
                <w:sz w:val="17"/>
                <w:szCs w:val="17"/>
                <w:color w:val="auto"/>
                <w:w w:val="93"/>
              </w:rPr>
              <w:t>80</w:t>
            </w: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Productivity improvements</w:t>
            </w:r>
          </w:p>
        </w:tc>
        <w:tc>
          <w:tcPr>
            <w:tcW w:w="820" w:type="dxa"/>
            <w:vAlign w:val="bottom"/>
          </w:tcPr>
          <w:p>
            <w:pPr>
              <w:jc w:val="center"/>
              <w:ind w:left="356"/>
              <w:spacing w:after="0"/>
              <w:rPr>
                <w:sz w:val="20"/>
                <w:szCs w:val="20"/>
                <w:color w:val="auto"/>
              </w:rPr>
            </w:pPr>
            <w:r>
              <w:rPr>
                <w:rFonts w:ascii="Times New Roman" w:cs="Times New Roman" w:eastAsia="Times New Roman" w:hAnsi="Times New Roman"/>
                <w:sz w:val="17"/>
                <w:szCs w:val="17"/>
                <w:b w:val="1"/>
                <w:bCs w:val="1"/>
                <w:color w:val="auto"/>
              </w:rPr>
              <w:t>130</w:t>
            </w:r>
          </w:p>
        </w:tc>
        <w:tc>
          <w:tcPr>
            <w:tcW w:w="1760" w:type="dxa"/>
            <w:vAlign w:val="bottom"/>
            <w:gridSpan w:val="3"/>
          </w:tcPr>
          <w:p>
            <w:pPr>
              <w:jc w:val="center"/>
              <w:ind w:left="439"/>
              <w:spacing w:after="0"/>
              <w:rPr>
                <w:sz w:val="20"/>
                <w:szCs w:val="20"/>
                <w:color w:val="auto"/>
              </w:rPr>
            </w:pPr>
            <w:r>
              <w:rPr>
                <w:rFonts w:ascii="Times New Roman" w:cs="Times New Roman" w:eastAsia="Times New Roman" w:hAnsi="Times New Roman"/>
                <w:sz w:val="17"/>
                <w:szCs w:val="17"/>
                <w:color w:val="auto"/>
                <w:w w:val="93"/>
              </w:rPr>
              <w:t>150</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Price and sales allowances</w:t>
            </w:r>
          </w:p>
        </w:tc>
        <w:tc>
          <w:tcPr>
            <w:tcW w:w="820" w:type="dxa"/>
            <w:vAlign w:val="bottom"/>
            <w:shd w:val="clear" w:color="auto" w:fill="CCEEFF"/>
          </w:tcPr>
          <w:p>
            <w:pPr>
              <w:jc w:val="center"/>
              <w:ind w:left="356"/>
              <w:spacing w:after="0"/>
              <w:rPr>
                <w:sz w:val="20"/>
                <w:szCs w:val="20"/>
                <w:color w:val="auto"/>
              </w:rPr>
            </w:pPr>
            <w:r>
              <w:rPr>
                <w:rFonts w:ascii="Times New Roman" w:cs="Times New Roman" w:eastAsia="Times New Roman" w:hAnsi="Times New Roman"/>
                <w:sz w:val="17"/>
                <w:szCs w:val="17"/>
                <w:b w:val="1"/>
                <w:bCs w:val="1"/>
                <w:color w:val="auto"/>
              </w:rPr>
              <w:t>610</w:t>
            </w:r>
          </w:p>
        </w:tc>
        <w:tc>
          <w:tcPr>
            <w:tcW w:w="1760" w:type="dxa"/>
            <w:vAlign w:val="bottom"/>
            <w:gridSpan w:val="3"/>
            <w:shd w:val="clear" w:color="auto" w:fill="CCEEFF"/>
          </w:tcPr>
          <w:p>
            <w:pPr>
              <w:jc w:val="center"/>
              <w:ind w:left="439"/>
              <w:spacing w:after="0"/>
              <w:rPr>
                <w:sz w:val="20"/>
                <w:szCs w:val="20"/>
                <w:color w:val="auto"/>
              </w:rPr>
            </w:pPr>
            <w:r>
              <w:rPr>
                <w:rFonts w:ascii="Times New Roman" w:cs="Times New Roman" w:eastAsia="Times New Roman" w:hAnsi="Times New Roman"/>
                <w:sz w:val="17"/>
                <w:szCs w:val="17"/>
                <w:color w:val="auto"/>
                <w:w w:val="98"/>
              </w:rPr>
              <w:t>(10)</w:t>
            </w: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Lower restructuring-related costs</w:t>
            </w:r>
          </w:p>
        </w:tc>
        <w:tc>
          <w:tcPr>
            <w:tcW w:w="820" w:type="dxa"/>
            <w:vAlign w:val="bottom"/>
          </w:tcPr>
          <w:p>
            <w:pPr>
              <w:jc w:val="center"/>
              <w:ind w:left="33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760" w:type="dxa"/>
            <w:vAlign w:val="bottom"/>
            <w:gridSpan w:val="3"/>
          </w:tcPr>
          <w:p>
            <w:pPr>
              <w:jc w:val="center"/>
              <w:ind w:left="439"/>
              <w:spacing w:after="0"/>
              <w:rPr>
                <w:sz w:val="20"/>
                <w:szCs w:val="20"/>
                <w:color w:val="auto"/>
              </w:rPr>
            </w:pPr>
            <w:r>
              <w:rPr>
                <w:rFonts w:ascii="Times New Roman" w:cs="Times New Roman" w:eastAsia="Times New Roman" w:hAnsi="Times New Roman"/>
                <w:sz w:val="17"/>
                <w:szCs w:val="17"/>
                <w:color w:val="auto"/>
                <w:w w:val="93"/>
              </w:rPr>
              <w:t>10</w:t>
            </w:r>
          </w:p>
        </w:tc>
      </w:tr>
      <w:tr>
        <w:trPr>
          <w:trHeight w:val="237"/>
        </w:trPr>
        <w:tc>
          <w:tcPr>
            <w:tcW w:w="864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b w:val="1"/>
                <w:bCs w:val="1"/>
                <w:color w:val="auto"/>
                <w:w w:val="97"/>
              </w:rPr>
              <w:t>(250)</w:t>
            </w: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(130)</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__________________________________________</w:t>
      </w:r>
    </w:p>
    <w:p>
      <w:pPr>
        <w:spacing w:after="0" w:line="55" w:lineRule="exact"/>
        <w:rPr>
          <w:sz w:val="20"/>
          <w:szCs w:val="20"/>
          <w:color w:val="auto"/>
        </w:rPr>
      </w:pPr>
    </w:p>
    <w:p>
      <w:pPr>
        <w:jc w:val="both"/>
        <w:ind w:left="320" w:hanging="317"/>
        <w:spacing w:after="0"/>
        <w:tabs>
          <w:tab w:leader="none" w:pos="308"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2022 includes an estimated positive margin impact of 30 basis points from the benefit of cost savings initiatives, which was more than offset by cost inflation and other factors, including a 130 basis-point impact from the change in unrealized mark-to-market adjustments on outstanding undesignated commodity hedges. 2021 includes an estimated positive margin impact of a 60 basis-point benefit from the change in unrealized mark-to-market adjustments on outstanding undesignated commodity hedges and 50 basis points from the benefit of cost savings initiatives, which were more than offset by cost inflation and other factors.</w:t>
      </w:r>
    </w:p>
    <w:p>
      <w:pPr>
        <w:spacing w:after="0" w:line="212"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the impact of operating leverage.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Marketing and Selling Expenses</w:t>
      </w:r>
    </w:p>
    <w:p>
      <w:pPr>
        <w:spacing w:after="0" w:line="9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Marketing and selling expenses as a percent of sales were 8.6% in 2022, 9.6% in 2021 and 10.9% in 2020. Marketing and selling expenses decreased 10% in 2022 from 2021. The decrease was primarily due to lower advertising and consumer promotion expense (approximately 10 points). The reduction in advertising and consumer promotion expense was primarily due to supply constraints.</w:t>
      </w:r>
    </w:p>
    <w:p>
      <w:pPr>
        <w:spacing w:after="0" w:line="38"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Marketing and selling expenses decreased 14% in 2021 from 2020. The decrease was primarily due to lower advertising and consumer promotion expense (approximately 7 points); increased benefits from cost savings initiatives (approximately 2 points); lower incentive compensation (approximately 2 points); lower selling expenses (approximately 1 point) and lower costs related to marketing overhead (approximately 1 point). The decrease in advertising and consumer promotion expense was primarily due to elevated levels in 2020.</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Administrative Expenses</w:t>
      </w:r>
    </w:p>
    <w:p>
      <w:pPr>
        <w:spacing w:after="0" w:line="10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Administrative expenses as a percent of sales were 7.2% in 2022, 7.1% in 2021 and 7.2% in 2020. Administrative expenses increased 3% in 2022 from 2021. The increase was primarily due to expenses related to the settlement of certain legal claims (approximately 3 points) and higher general administrative costs (approximately 3 points), partially offset by increased benefits from cost savings initiatives (approximately 3 points).</w:t>
      </w:r>
    </w:p>
    <w:p>
      <w:pPr>
        <w:spacing w:after="0" w:line="38"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Administrative expenses decreased 4% in 2021 from 2020. The decrease was primarily due to lower incentive compensation (approximately 4 points); lower costs associated with cost savings initiatives (approximately 3 points); increased benefits from cost savings initiatives (approximately 2 points) and higher charitable contributions in 2020 (approximately 2 points), partially offset by higher information technology costs (approximately 4 points); higher inflation and other factors (approximately 2 points) and higher benefit-related costs (approximately 1 point).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Expenses / (Income)</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Other expenses in 2022 included the following:</w:t>
      </w:r>
    </w:p>
    <w:p>
      <w:pPr>
        <w:spacing w:after="0" w:line="88" w:lineRule="exact"/>
        <w:rPr>
          <w:sz w:val="20"/>
          <w:szCs w:val="20"/>
          <w:color w:val="auto"/>
        </w:rPr>
      </w:pPr>
    </w:p>
    <w:p>
      <w:pPr>
        <w:ind w:left="620" w:hanging="153"/>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 million of amortization of intangible assets; and</w:t>
      </w:r>
    </w:p>
    <w:p>
      <w:pPr>
        <w:spacing w:after="0" w:line="100" w:lineRule="exact"/>
        <w:rPr>
          <w:rFonts w:ascii="Times New Roman" w:cs="Times New Roman" w:eastAsia="Times New Roman" w:hAnsi="Times New Roman"/>
          <w:sz w:val="17"/>
          <w:szCs w:val="17"/>
          <w:color w:val="auto"/>
        </w:rPr>
      </w:pPr>
    </w:p>
    <w:p>
      <w:pPr>
        <w:ind w:left="320" w:right="2920" w:firstLine="147"/>
        <w:spacing w:after="0" w:line="355" w:lineRule="auto"/>
        <w:tabs>
          <w:tab w:leader="none" w:pos="62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 million of net periodic benefit income, including pension and postretirement actuarial losses of $44 million. Other income in 2021 included the following:</w:t>
      </w:r>
    </w:p>
    <w:p>
      <w:pPr>
        <w:spacing w:after="0" w:line="1"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$285 million of net periodic benefit income, including pension and postretirement actuarial gains of $203 million;</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 million of income from transition services fees;</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 million of amortization of intangible assets; and</w:t>
      </w:r>
    </w:p>
    <w:p>
      <w:pPr>
        <w:spacing w:after="0" w:line="87"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 million loss on the sale of the Plum baby food and snacks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23" w:name="page24"/>
    <w:bookmarkEnd w:id="23"/>
    <w:p>
      <w:pPr>
        <w:ind w:left="320"/>
        <w:spacing w:after="0"/>
        <w:rPr>
          <w:sz w:val="20"/>
          <w:szCs w:val="20"/>
          <w:color w:val="auto"/>
        </w:rPr>
      </w:pPr>
      <w:r>
        <w:rPr>
          <w:rFonts w:ascii="Times New Roman" w:cs="Times New Roman" w:eastAsia="Times New Roman" w:hAnsi="Times New Roman"/>
          <w:sz w:val="17"/>
          <w:szCs w:val="17"/>
          <w:color w:val="auto"/>
        </w:rPr>
        <w:t>Other expenses in 2020 included the following:</w:t>
      </w:r>
    </w:p>
    <w:p>
      <w:pPr>
        <w:spacing w:after="0" w:line="88" w:lineRule="exact"/>
        <w:rPr>
          <w:sz w:val="20"/>
          <w:szCs w:val="20"/>
          <w:color w:val="auto"/>
        </w:rPr>
      </w:pPr>
    </w:p>
    <w:p>
      <w:pPr>
        <w:ind w:left="620" w:hanging="153"/>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$73 million of net periodic benefit expense, including pension and postretirement actuarial losses of $164 million;</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$64 million loss on the sale of the European chips business;</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 million loss on Acre;</w:t>
      </w:r>
    </w:p>
    <w:p>
      <w:pPr>
        <w:spacing w:after="0" w:line="87"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$43 million of amortization of intangible assets; and</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 million of income from transition services fees.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Earnings</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Segment operating earnings decreased 3% in 2022 from 2021 and decreased 6% in 2021 from 2020.</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An analysis of operating earnings by segment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line="20" w:lineRule="exact"/>
              <w:rPr>
                <w:sz w:val="1"/>
                <w:szCs w:val="1"/>
                <w:color w:val="auto"/>
              </w:rPr>
            </w:pPr>
          </w:p>
        </w:tc>
        <w:tc>
          <w:tcPr>
            <w:tcW w:w="74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9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2022/2021</w:t>
            </w:r>
          </w:p>
        </w:tc>
        <w:tc>
          <w:tcPr>
            <w:tcW w:w="100" w:type="dxa"/>
            <w:vAlign w:val="bottom"/>
            <w:tcBorders>
              <w:top w:val="single" w:sz="8" w:color="auto"/>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2021/2020</w:t>
            </w:r>
          </w:p>
        </w:tc>
        <w:tc>
          <w:tcPr>
            <w:tcW w:w="0" w:type="dxa"/>
            <w:vAlign w:val="bottom"/>
          </w:tcPr>
          <w:p>
            <w:pPr>
              <w:spacing w:after="0"/>
              <w:rPr>
                <w:sz w:val="1"/>
                <w:szCs w:val="1"/>
                <w:color w:val="auto"/>
              </w:rPr>
            </w:pPr>
          </w:p>
        </w:tc>
      </w:tr>
      <w:tr>
        <w:trPr>
          <w:trHeight w:val="21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Meals &amp; Beverages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9"/>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Snacks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060" w:type="dxa"/>
            <w:vAlign w:val="bottom"/>
            <w:tcBorders>
              <w:bottom w:val="single" w:sz="8" w:color="CCEEFF"/>
            </w:tcBorders>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2"/>
        </w:trPr>
        <w:tc>
          <w:tcPr>
            <w:tcW w:w="5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106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19"/>
        </w:trPr>
        <w:tc>
          <w:tcPr>
            <w:tcW w:w="5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income (expense)</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2"/>
                <w:szCs w:val="22"/>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before interest and taxes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1,163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1,107</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__________________________________________</w:t>
      </w:r>
    </w:p>
    <w:p>
      <w:pPr>
        <w:spacing w:after="0" w:line="38" w:lineRule="exact"/>
        <w:rPr>
          <w:sz w:val="20"/>
          <w:szCs w:val="20"/>
          <w:color w:val="auto"/>
        </w:rPr>
      </w:pPr>
    </w:p>
    <w:p>
      <w:pPr>
        <w:ind w:left="300" w:hanging="297"/>
        <w:spacing w:after="0"/>
        <w:tabs>
          <w:tab w:leader="none" w:pos="30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Note 7 to the Consolidated Financial Statements for additional information on restructuring charges.</w:t>
      </w:r>
    </w:p>
    <w:p>
      <w:pPr>
        <w:spacing w:after="0" w:line="6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Operating earnings from Meals &amp; Beverages decreased 5% in 2022 versus 2021. The decrease was primarily due to lower gross profit and higher administrative expenses, partially offset by lower marketing and selling expenses. Gross profit margin declined driven by higher cost inflation and other supply chain costs as well as higher levels of promotional spending and unfavorable volume/mix, partially offset by the impact of pricing actions and supply chain productivity improvements.</w:t>
      </w:r>
    </w:p>
    <w:p>
      <w:pPr>
        <w:spacing w:after="0" w:line="263"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Operating earnings from Meals &amp; Beverages decreased 9% in 2021 versus 2020. The decrease was primarily due to a lower gross profit margin and sales volume declines, partially offset by lower marketing and selling expenses and administrative expenses. Gross profit performance was impacted by higher cost inflation and other supply chain costs, as well as unfavorable volume/mix, partially offset by supply chain productivity improvements and lower levels of promotional activity.</w:t>
      </w:r>
    </w:p>
    <w:p>
      <w:pPr>
        <w:spacing w:after="0" w:line="5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Operating earnings from Snacks increased 1% in 2022 versus 2021. The increase was primarily due to lower marketing and selling expenses and slightly higher gross profit, partially offset by higher administrative expenses due to the settlement of certain legal claims.</w:t>
      </w:r>
    </w:p>
    <w:p>
      <w:pPr>
        <w:spacing w:after="0" w:line="23"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Operating earnings from Snacks decreased 2% in 2021 versus 2020. The decrease primarily due to a lower gross profit margin and sales volume declines, partially offset by lower marketing and selling expenses. Gross profit performance was impacted by higher cost inflation and other supply chain costs, as well as unfavorable volume/mix, partially offset by supply chain productivity improvements and cost savings initiatives as well as lower levels of promotional spending.</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Corporate expense in 2022 included the following:</w:t>
      </w:r>
    </w:p>
    <w:p>
      <w:pPr>
        <w:spacing w:after="0" w:line="101" w:lineRule="exact"/>
        <w:rPr>
          <w:sz w:val="20"/>
          <w:szCs w:val="20"/>
          <w:color w:val="auto"/>
        </w:rPr>
      </w:pPr>
    </w:p>
    <w:p>
      <w:pPr>
        <w:ind w:left="620" w:hanging="153"/>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$59 million of unrealized mark-to-market losses on outstanding undesignated commodity hedges;</w:t>
      </w:r>
    </w:p>
    <w:p>
      <w:pPr>
        <w:spacing w:after="0" w:line="87"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 million of pension and postretirement actuarial losses; and</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$26 million related to cost savings initiatives.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Corporate income in 2021 included the following:</w:t>
      </w:r>
    </w:p>
    <w:p>
      <w:pPr>
        <w:spacing w:after="0" w:line="88" w:lineRule="exact"/>
        <w:rPr>
          <w:sz w:val="20"/>
          <w:szCs w:val="20"/>
          <w:color w:val="auto"/>
        </w:rPr>
      </w:pPr>
    </w:p>
    <w:p>
      <w:pPr>
        <w:ind w:left="620" w:hanging="153"/>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$203 million of pension and postretirement actuarial gains;</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million of unrealized mark-to-market gains on outstanding undesignated commodity hedges;</w:t>
      </w:r>
    </w:p>
    <w:p>
      <w:pPr>
        <w:spacing w:after="0" w:line="87"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$32 million related to the cost savings initiatives; and</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loss of $11 million from the sale of the Plum baby food and snacks business.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Corporate expense in 2020 included the following:</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$164 million of pension and postretirement actuarial losses;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24" w:name="page25"/>
    <w:bookmarkEnd w:id="24"/>
    <w:p>
      <w:pPr>
        <w:ind w:left="620" w:hanging="153"/>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loss of $64 million from the sale of the European chips business;</w:t>
      </w:r>
    </w:p>
    <w:p>
      <w:pPr>
        <w:spacing w:after="0" w:line="87"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$60 million related to the cost savings initiatives;</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loss of $45 million on Acre; and</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million of unrealized mark-to-market gains on outstanding undesignated commodity hedges.</w:t>
      </w:r>
    </w:p>
    <w:p>
      <w:pPr>
        <w:spacing w:after="0" w:line="8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Interest Expense</w:t>
      </w:r>
    </w:p>
    <w:p>
      <w:pPr>
        <w:spacing w:after="0" w:line="107"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Interest expense decreased to $189 million in 2022 from $210 million in 2021. The decrease in interest expense was primarily due to lower levels of debt, partially offset by a loss on extinguishment of debt of $4 million in 2022.</w:t>
      </w:r>
    </w:p>
    <w:p>
      <w:pPr>
        <w:spacing w:after="0" w:line="36"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Interest expense decreased to $210 million in 2021 from $345 million in 2020. The decrease in interest expense was due to a loss on extinguishment of debt of $75 million in 2020 and lower levels of debt.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Taxes on Earnings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effective tax rate was 22.4% in 2022, 24.6% in 2021 and 22.7% in 2020.</w:t>
      </w:r>
    </w:p>
    <w:p>
      <w:pPr>
        <w:spacing w:after="0" w:line="10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decrease in the effective tax rate in 2022 from 2021 was primarily due to a $19 million deferred tax charge recognized in the second quarter of 2021 in connection with a legal entity reorganization as part of the continued integration of Snyder's-Lance and state income tax law changes.</w:t>
      </w:r>
    </w:p>
    <w:p>
      <w:pPr>
        <w:spacing w:after="0" w:line="23"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increase in the effective rate in 2021 from 2020 was primarily due to the $19 million deferred tax charge recognized in the second quarter of 2021 and a $27 million tax benefit on the $64 million loss on the sale of the European chips business in 2020.</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Restructuring Charges and Cost Savings Initiatives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Multi-year Cost Savings Initiatives and Snyder's-Lance Cost Transformation Program and Integration</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Beginning in fiscal 2015, we implemented initiatives to reduce costs and to streamline our organizational structure.</w:t>
      </w:r>
    </w:p>
    <w:p>
      <w:pPr>
        <w:spacing w:after="0" w:line="10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Over the years, we expanded these initiatives by continuing to optimize our supply chain and manufacturing networks, including closing our manufacturing facility in Toronto, Ontario, as well as our information technology infrastructure.</w:t>
      </w:r>
    </w:p>
    <w:p>
      <w:pPr>
        <w:spacing w:after="0" w:line="3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38"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 2022, we expanded these initiatives as we continue to pursue cost savings by further optimizing our supply chain and manufacturing network and through effective cost management. Cost estimates for these expanded initiatives, as well as timing for certain activities, are continuing to be developed.</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charges recorded in Earnings from continuing operations related to these initiatives is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320" w:type="dxa"/>
            <w:vAlign w:val="bottom"/>
          </w:tcPr>
          <w:p>
            <w:pPr>
              <w:spacing w:after="0"/>
              <w:rPr>
                <w:sz w:val="13"/>
                <w:szCs w:val="13"/>
                <w:color w:val="auto"/>
              </w:rPr>
            </w:pPr>
          </w:p>
        </w:tc>
        <w:tc>
          <w:tcPr>
            <w:tcW w:w="106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87"/>
        </w:trPr>
        <w:tc>
          <w:tcPr>
            <w:tcW w:w="54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0" w:type="dxa"/>
            <w:vAlign w:val="bottom"/>
          </w:tcPr>
          <w:p>
            <w:pPr>
              <w:spacing w:after="0"/>
              <w:rPr>
                <w:sz w:val="1"/>
                <w:szCs w:val="1"/>
                <w:color w:val="auto"/>
              </w:rPr>
            </w:pPr>
          </w:p>
        </w:tc>
      </w:tr>
      <w:tr>
        <w:trPr>
          <w:trHeight w:val="21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charges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0" w:type="dxa"/>
            <w:vAlign w:val="bottom"/>
          </w:tcPr>
          <w:p>
            <w:pPr>
              <w:spacing w:after="0"/>
              <w:rPr>
                <w:sz w:val="1"/>
                <w:szCs w:val="1"/>
                <w:color w:val="auto"/>
              </w:rPr>
            </w:pPr>
          </w:p>
        </w:tc>
      </w:tr>
      <w:tr>
        <w:trPr>
          <w:trHeight w:val="219"/>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Administrative expenses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0" w:type="dxa"/>
            <w:vAlign w:val="bottom"/>
          </w:tcPr>
          <w:p>
            <w:pPr>
              <w:spacing w:after="0"/>
              <w:rPr>
                <w:sz w:val="1"/>
                <w:szCs w:val="1"/>
                <w:color w:val="auto"/>
              </w:rPr>
            </w:pP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products sold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19"/>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Marketing and selling expenses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pre-tax charges</w:t>
            </w: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Aggregate after-tax impact</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 share impact</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25" w:name="page26"/>
    <w:bookmarkEnd w:id="25"/>
    <w:p>
      <w:pPr>
        <w:ind w:left="320"/>
        <w:spacing w:after="0"/>
        <w:rPr>
          <w:sz w:val="20"/>
          <w:szCs w:val="20"/>
          <w:color w:val="auto"/>
        </w:rPr>
      </w:pPr>
      <w:r>
        <w:rPr>
          <w:rFonts w:ascii="Times New Roman" w:cs="Times New Roman" w:eastAsia="Times New Roman" w:hAnsi="Times New Roman"/>
          <w:sz w:val="17"/>
          <w:szCs w:val="17"/>
          <w:color w:val="auto"/>
        </w:rPr>
        <w:t>A summary of the pre-tax costs in Earnings from continuing operations associated with the initiatives is as follows:</w:t>
      </w: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7105650" cy="147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14732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Severance pay and benefits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Asset impairment/accelerated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05650" cy="139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13906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Implementation costs and other related costs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Recognized as of July 31,</w:t>
      </w:r>
    </w:p>
    <w:p>
      <w:pPr>
        <w:spacing w:after="0" w:line="10"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2" w:lineRule="exact"/>
        <w:rPr>
          <w:sz w:val="20"/>
          <w:szCs w:val="20"/>
          <w:color w:val="auto"/>
        </w:rPr>
      </w:pPr>
    </w:p>
    <w:p>
      <w:pPr>
        <w:ind w:left="1182" w:hanging="1182"/>
        <w:spacing w:after="0"/>
        <w:tabs>
          <w:tab w:leader="none" w:pos="1182"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227</w:t>
      </w:r>
    </w:p>
    <w:p>
      <w:pPr>
        <w:spacing w:after="0" w:line="27" w:lineRule="exact"/>
        <w:rPr>
          <w:rFonts w:ascii="Times New Roman" w:cs="Times New Roman" w:eastAsia="Times New Roman" w:hAnsi="Times New Roman"/>
          <w:sz w:val="17"/>
          <w:szCs w:val="17"/>
          <w:color w:val="auto"/>
        </w:rPr>
      </w:pPr>
    </w:p>
    <w:p>
      <w:pPr>
        <w:ind w:left="128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82</w:t>
      </w:r>
    </w:p>
    <w:p>
      <w:pPr>
        <w:spacing w:after="0" w:line="23" w:lineRule="exact"/>
        <w:rPr>
          <w:sz w:val="20"/>
          <w:szCs w:val="20"/>
          <w:color w:val="auto"/>
        </w:rPr>
      </w:pPr>
    </w:p>
    <w:p>
      <w:pPr>
        <w:ind w:left="1182"/>
        <w:spacing w:after="0"/>
        <w:rPr>
          <w:sz w:val="20"/>
          <w:szCs w:val="20"/>
          <w:color w:val="auto"/>
        </w:rPr>
      </w:pPr>
      <w:r>
        <w:rPr>
          <w:rFonts w:ascii="Times New Roman" w:cs="Times New Roman" w:eastAsia="Times New Roman" w:hAnsi="Times New Roman"/>
          <w:sz w:val="17"/>
          <w:szCs w:val="17"/>
          <w:color w:val="auto"/>
        </w:rPr>
        <w:t>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9728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72820" cy="8255"/>
                    </a:xfrm>
                    <a:prstGeom prst="rect">
                      <a:avLst/>
                    </a:prstGeom>
                    <a:noFill/>
                  </pic:spPr>
                </pic:pic>
              </a:graphicData>
            </a:graphic>
          </wp:anchor>
        </w:drawing>
      </w:r>
    </w:p>
    <w:p>
      <w:pPr>
        <w:spacing w:after="0" w:line="12" w:lineRule="exact"/>
        <w:rPr>
          <w:sz w:val="20"/>
          <w:szCs w:val="20"/>
          <w:color w:val="auto"/>
        </w:rPr>
      </w:pPr>
    </w:p>
    <w:p>
      <w:pPr>
        <w:ind w:left="1182" w:hanging="1182"/>
        <w:spacing w:after="0"/>
        <w:tabs>
          <w:tab w:leader="none" w:pos="118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9728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7282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41910</wp:posOffset>
            </wp:positionV>
            <wp:extent cx="9728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72820"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8958" w:space="720"/>
            <w:col w:w="1562"/>
          </w:cols>
          <w:pgMar w:left="320" w:top="1359" w:right="339" w:bottom="1440" w:gutter="0" w:footer="0" w:header="0"/>
        </w:sectPr>
      </w:pPr>
    </w:p>
    <w:p>
      <w:pPr>
        <w:spacing w:after="0" w:line="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total estimated pre-tax costs for actions associated with continuing operations that have been identified to date are approximately $735 million to $740 million and we expect to incur the costs through 2023. These estimates will be updated as the expanded initiatives are developed.</w:t>
      </w:r>
    </w:p>
    <w:p>
      <w:pPr>
        <w:spacing w:after="0" w:line="36"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expect the costs for actions associated with continuing operations that have been identified to date to consist of the following: approximately $230 million in severance pay and benefits; approximately $85 million in asset impairment and accelerated depreciation; and approximately $420 million to $425 million in implementation costs and other related costs. We expect these pre-tax costs to be associated with our segments as follows: Meals &amp; Beverages - approximately 31%; Snacks - approximately 44%; and Corporate - approximately 25%.</w:t>
      </w:r>
    </w:p>
    <w:p>
      <w:pPr>
        <w:spacing w:after="0" w:line="54"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Of the aggregate $735 million to $740 million of pre-tax costs associated with continuing operations identified to date, we expect approximately $635 million to $640 million will be cash expenditures. In addition, we expect to invest approximately $445 million in capital expenditures through 2023, of which we invested $440 million as of July 31, 2022. The capital expenditures primarily relate to a U.S. warehouse optimization project, improvement of quality, safety and cost structure across the Snyder’s-Lance manufacturing network, implementation of our existing SAP enterprise-resource planning system for Snyder's-Lance, transition of production of the Toronto manufacturing facility to our U.S. thermal plants, optimization of information technology infrastructure and applications and optimization of the Snyder’s-Lance warehouse and distribution network.</w:t>
      </w:r>
    </w:p>
    <w:p>
      <w:pPr>
        <w:spacing w:after="0" w:line="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expect to fund the costs through cash flows from operations and short-term borrowings.</w:t>
      </w:r>
    </w:p>
    <w:p>
      <w:pPr>
        <w:spacing w:after="0" w:line="10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expect the initiatives for actions associated with continuing operations, once all phases are implemented, to generate annual ongoing savings of approximately $1 billion by the end of 2025. As of July 31, 2022, we have generated total program-to-date pre-tax savings of $850 million.</w:t>
      </w:r>
    </w:p>
    <w:p>
      <w:pPr>
        <w:spacing w:after="0" w:line="36"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5"/>
                <w:szCs w:val="15"/>
                <w:color w:val="auto"/>
              </w:rPr>
            </w:pPr>
          </w:p>
        </w:tc>
        <w:tc>
          <w:tcPr>
            <w:tcW w:w="118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52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Costs Incurred to Date</w:t>
            </w:r>
          </w:p>
        </w:tc>
      </w:tr>
      <w:tr>
        <w:trPr>
          <w:trHeight w:val="22"/>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Meals &amp; Beverages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r>
      <w:tr>
        <w:trPr>
          <w:trHeight w:val="21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Snacks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r>
      <w:tr>
        <w:trPr>
          <w:trHeight w:val="212"/>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Note 7 to the Consolidated Financial Statements for additional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Discontinued Operations</w:t>
      </w:r>
    </w:p>
    <w:p>
      <w:pPr>
        <w:spacing w:after="0" w:line="94"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completed the sale of our Kelsen business on September 23, 2019, for $322 million. We also completed the sale of the Arnott’s and other international operations on December 23, 2019, for $2.286 billion. The purchase price was subject to certain post-closing adjustments, which resulted in $4 million of additional proceeds in the third quarter of 2020. Beginning in the fourth quarter of 2019, we have reflected the results of operations of the Kelsen business and the Arnott’s and other international operations, or Campbell International, as discontinued operations in the Consolidated Statements of Earnings for all periods presented. These businesses were historically included in the Snacks reportable segment.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type w:val="continuous"/>
        </w:sectPr>
      </w:pPr>
    </w:p>
    <w:bookmarkStart w:id="26" w:name="page27"/>
    <w:bookmarkEnd w:id="26"/>
    <w:p>
      <w:pPr>
        <w:ind w:left="320"/>
        <w:spacing w:after="0"/>
        <w:rPr>
          <w:sz w:val="20"/>
          <w:szCs w:val="20"/>
          <w:color w:val="auto"/>
        </w:rPr>
      </w:pPr>
      <w:r>
        <w:rPr>
          <w:rFonts w:ascii="Times New Roman" w:cs="Times New Roman" w:eastAsia="Times New Roman" w:hAnsi="Times New Roman"/>
          <w:sz w:val="17"/>
          <w:szCs w:val="17"/>
          <w:color w:val="auto"/>
        </w:rPr>
        <w:t>Results of discontinued operations were as follows:</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7138670" cy="147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sales</w:t>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Earnings before taxes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39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Taxes on earnings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Gain on sales of businesses / costs associated with selling the businesses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Tax expense on sales / costs associated with selling the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Earnings from discontinued operations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2020</w:t>
      </w:r>
    </w:p>
    <w:p>
      <w:pPr>
        <w:spacing w:after="0" w:line="53" w:lineRule="exact"/>
        <w:rPr>
          <w:sz w:val="20"/>
          <w:szCs w:val="20"/>
          <w:color w:val="auto"/>
        </w:rPr>
      </w:pPr>
    </w:p>
    <w:p>
      <w:pPr>
        <w:ind w:left="780" w:hanging="778"/>
        <w:spacing w:after="0"/>
        <w:tabs>
          <w:tab w:leader="none" w:pos="7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25400</wp:posOffset>
            </wp:positionV>
            <wp:extent cx="7112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61" w:lineRule="exact"/>
        <w:rPr>
          <w:sz w:val="20"/>
          <w:szCs w:val="20"/>
          <w:color w:val="auto"/>
        </w:rPr>
      </w:pPr>
    </w:p>
    <w:p>
      <w:pPr>
        <w:ind w:left="860" w:hanging="858"/>
        <w:spacing w:after="0"/>
        <w:tabs>
          <w:tab w:leader="none" w:pos="8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53</w:t>
      </w:r>
    </w:p>
    <w:p>
      <w:pPr>
        <w:spacing w:after="0" w:line="27" w:lineRule="exact"/>
        <w:rPr>
          <w:rFonts w:ascii="Times New Roman" w:cs="Times New Roman" w:eastAsia="Times New Roman" w:hAnsi="Times New Roman"/>
          <w:sz w:val="17"/>
          <w:szCs w:val="17"/>
          <w:color w:val="auto"/>
        </w:rPr>
      </w:pP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1,039</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39</w:t>
      </w:r>
    </w:p>
    <w:p>
      <w:pPr>
        <w:spacing w:after="0" w:line="32" w:lineRule="exact"/>
        <w:rPr>
          <w:sz w:val="20"/>
          <w:szCs w:val="20"/>
          <w:color w:val="auto"/>
        </w:rPr>
      </w:pPr>
    </w:p>
    <w:p>
      <w:pPr>
        <w:ind w:left="660" w:hanging="658"/>
        <w:spacing w:after="0"/>
        <w:tabs>
          <w:tab w:leader="none" w:pos="6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12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9420" w:space="720"/>
            <w:col w:w="1100"/>
          </w:cols>
          <w:pgMar w:left="320" w:top="947" w:right="339" w:bottom="1440" w:gutter="0" w:footer="0" w:header="0"/>
        </w:sectPr>
      </w:pPr>
    </w:p>
    <w:p>
      <w:pPr>
        <w:spacing w:after="0" w:line="17"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 addition, in the third quarter of 2021, we recognized a $6 million loss due to tax expense from return-to-provision adjustments related to the sale of Campbell International.</w:t>
      </w:r>
    </w:p>
    <w:p>
      <w:pPr>
        <w:spacing w:after="0" w:line="23"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sale of the Arnott's and other international operations resulted in a substantial capital gain for tax purposes. We were able to utilize capital losses in 2020, which were offset with valuation allowances as of July 28, 2019, to offset the capital gain.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0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38"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generated cash flows from operations of $1.181 billion in 2022, compared to $1.035 billion in 2021. The increase in 2022 was primarily due to changes in working capital, partially offset by lower cash earnings.</w:t>
      </w:r>
    </w:p>
    <w:p>
      <w:pPr>
        <w:spacing w:after="0" w:line="36"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generated cash flows from operations of $1.035 billion in 2021, compared to $1.396 billion in 2020. The decline in 2021 was primarily due changes in working capital, mostly from a significant increase in accounts payable in the prior year and lower accrued liabilities in the current year.</w:t>
      </w:r>
    </w:p>
    <w:p>
      <w:pPr>
        <w:spacing w:after="0" w:line="3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Current assets are less than current liabilities as a result of our level of current maturities of long-term debt and short-term borrowings and our focus to lower core working capital requirements. We had negative working capital of $923 million as of July 31, 2022, and $119 million as of August 1, 2021. Total debt maturing within one year was $814 million as of July 31, 2022, and $48 million as of August 1, 2021.</w:t>
      </w:r>
    </w:p>
    <w:p>
      <w:pPr>
        <w:spacing w:after="0" w:line="38"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 xml:space="preserve">Capital expenditures were $242 million in 2022, $275 million in 2021 and $299 million in 2020. Capital expenditures are expected to total approximately $325 million in 2023. Capital expenditures in 2022 included improvement of the quality and cost structure of the Snyder's-Lance manufacturing network, the continued implementation of our existing SAP enterprise-resource planning system for Snyder's-Lance and cookie and cracker capacity expansion for our Snacks business. Capital expenditures in 2021 included the continued implementation of our existing SAP enterprise-resource planning system for Snyder's-Lance, chip capacity expansion projects, a </w:t>
      </w:r>
      <w:r>
        <w:rPr>
          <w:rFonts w:ascii="Times New Roman" w:cs="Times New Roman" w:eastAsia="Times New Roman" w:hAnsi="Times New Roman"/>
          <w:sz w:val="17"/>
          <w:szCs w:val="17"/>
          <w:i w:val="1"/>
          <w:iCs w:val="1"/>
          <w:color w:val="auto"/>
        </w:rPr>
        <w:t>Milano</w:t>
      </w:r>
      <w:r>
        <w:rPr>
          <w:rFonts w:ascii="Times New Roman" w:cs="Times New Roman" w:eastAsia="Times New Roman" w:hAnsi="Times New Roman"/>
          <w:sz w:val="17"/>
          <w:szCs w:val="17"/>
          <w:color w:val="auto"/>
        </w:rPr>
        <w:t xml:space="preserve"> cookie capacity expansion project and a </w:t>
      </w:r>
      <w:r>
        <w:rPr>
          <w:rFonts w:ascii="Times New Roman" w:cs="Times New Roman" w:eastAsia="Times New Roman" w:hAnsi="Times New Roman"/>
          <w:sz w:val="17"/>
          <w:szCs w:val="17"/>
          <w:i w:val="1"/>
          <w:iCs w:val="1"/>
          <w:color w:val="auto"/>
        </w:rPr>
        <w:t>Goldfish</w:t>
      </w:r>
      <w:r>
        <w:rPr>
          <w:rFonts w:ascii="Times New Roman" w:cs="Times New Roman" w:eastAsia="Times New Roman" w:hAnsi="Times New Roman"/>
          <w:sz w:val="17"/>
          <w:szCs w:val="17"/>
          <w:color w:val="auto"/>
        </w:rPr>
        <w:t xml:space="preserve"> cracker capacity expansion project. Capital expenditures in 2020 included implementation of our existing SAP enterprise-resource planning system for Snyder's-Lance, a </w:t>
      </w:r>
      <w:r>
        <w:rPr>
          <w:rFonts w:ascii="Times New Roman" w:cs="Times New Roman" w:eastAsia="Times New Roman" w:hAnsi="Times New Roman"/>
          <w:sz w:val="17"/>
          <w:szCs w:val="17"/>
          <w:i w:val="1"/>
          <w:iCs w:val="1"/>
          <w:color w:val="auto"/>
        </w:rPr>
        <w:t>Milano</w:t>
      </w:r>
      <w:r>
        <w:rPr>
          <w:rFonts w:ascii="Times New Roman" w:cs="Times New Roman" w:eastAsia="Times New Roman" w:hAnsi="Times New Roman"/>
          <w:sz w:val="17"/>
          <w:szCs w:val="17"/>
          <w:color w:val="auto"/>
        </w:rPr>
        <w:t xml:space="preserve"> cookie capacity expansion project, chip capacity expansion projects and a </w:t>
      </w:r>
      <w:r>
        <w:rPr>
          <w:rFonts w:ascii="Times New Roman" w:cs="Times New Roman" w:eastAsia="Times New Roman" w:hAnsi="Times New Roman"/>
          <w:sz w:val="17"/>
          <w:szCs w:val="17"/>
          <w:i w:val="1"/>
          <w:iCs w:val="1"/>
          <w:color w:val="auto"/>
        </w:rPr>
        <w:t>Goldfish</w:t>
      </w:r>
      <w:r>
        <w:rPr>
          <w:rFonts w:ascii="Times New Roman" w:cs="Times New Roman" w:eastAsia="Times New Roman" w:hAnsi="Times New Roman"/>
          <w:sz w:val="17"/>
          <w:szCs w:val="17"/>
          <w:color w:val="auto"/>
        </w:rPr>
        <w:t xml:space="preserve"> cracker capacity expansion project.</w:t>
      </w:r>
    </w:p>
    <w:p>
      <w:pPr>
        <w:spacing w:after="0" w:line="6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 Snacks, we have a direct-store-delivery distribution model that uses independent contractor distributors. In order to maintain and expand this model, we routinely purchase and sell routes. The purchase and sale proceeds of the routes are reflected in investing activities.</w:t>
      </w:r>
    </w:p>
    <w:p>
      <w:pPr>
        <w:spacing w:after="0" w:line="3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completed the sale of our Kelsen business on September 23, 2019, for $322 million. On September 30, 2019, we repaid $399 million of our senior unsecured term loan facility using net proceeds from the Kelsen sale and the issuance of commercial paper. In addition, on October 11, 2019, we completed the sale of our European chips business for £63 million, or $77 million.</w:t>
      </w:r>
    </w:p>
    <w:p>
      <w:pPr>
        <w:spacing w:after="0" w:line="38"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We completed the sale of the Arnott’s and other international operations on December 23, 2019, for $2.286 billion. The purchase price was subject to certain post-closing adjustments, which resulted in $4 million of additional proceeds in the third quarter of 2020. We used the net proceeds from the sale to reduce our debt through a series of actions. On December 31, 2019, we repaid the $100 million outstanding balance on our senior unsecured term loan facility. On January 22, 2020, we completed the redemption of all $500 million outstanding aggregate principal amount of our 4.25% Senior Notes due 2021. On January 24, 2020, we settled tender offers to purchase $1.2 billion in aggregate principal amount of certain unsecured debt, comprising $329 million of 3.30% Senior Notes due 2021, $634 million of 3.65% Senior Notes due 2023, and $237 million of 3.80% Senior Notes due 2043. Except for the $237 million of 3.80% Senior Notes due 2043, the Senior Notes settled under the tender offer were issued in connection with our acquisition of Snyder’s-Lance. The consideration for the redemption and the tender offers was $1.765 billion, including $65 million of premium. We recognized a loss of $75 million (including $65 million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type w:val="continuous"/>
        </w:sectPr>
      </w:pPr>
    </w:p>
    <w:bookmarkStart w:id="27" w:name="page28"/>
    <w:bookmarkEnd w:id="27"/>
    <w:p>
      <w:pPr>
        <w:jc w:val="both"/>
        <w:spacing w:after="0" w:line="269" w:lineRule="auto"/>
        <w:rPr>
          <w:sz w:val="20"/>
          <w:szCs w:val="20"/>
          <w:color w:val="auto"/>
        </w:rPr>
      </w:pPr>
      <w:r>
        <w:rPr>
          <w:rFonts w:ascii="Times New Roman" w:cs="Times New Roman" w:eastAsia="Times New Roman" w:hAnsi="Times New Roman"/>
          <w:sz w:val="17"/>
          <w:szCs w:val="17"/>
          <w:color w:val="auto"/>
        </w:rPr>
        <w:t>of premium, fees and other costs paid with the tender offers and unamortized debt issuance costs), which was recorded in Interest expense in the Consolidated Statement of Earnings. In addition, we paid accrued and unpaid interest on the purchased notes through the dates of settlement. The net divestiture proceeds remaining after these debt reduction activities were used to reduce commercial paper borrowings.</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May 3, 2021, we completed the sale of our Plum baby food and snacks business for $101 million.</w:t>
      </w:r>
    </w:p>
    <w:p>
      <w:pPr>
        <w:spacing w:after="0" w:line="88" w:lineRule="exact"/>
        <w:rPr>
          <w:sz w:val="20"/>
          <w:szCs w:val="20"/>
          <w:color w:val="auto"/>
        </w:rPr>
      </w:pPr>
    </w:p>
    <w:p>
      <w:pPr>
        <w:jc w:val="both"/>
        <w:ind w:firstLine="309"/>
        <w:spacing w:after="0" w:line="248" w:lineRule="auto"/>
        <w:rPr>
          <w:sz w:val="20"/>
          <w:szCs w:val="20"/>
          <w:color w:val="auto"/>
        </w:rPr>
      </w:pPr>
      <w:r>
        <w:rPr>
          <w:rFonts w:ascii="Times New Roman" w:cs="Times New Roman" w:eastAsia="Times New Roman" w:hAnsi="Times New Roman"/>
          <w:sz w:val="17"/>
          <w:szCs w:val="17"/>
          <w:color w:val="auto"/>
        </w:rPr>
        <w:t>Dividend payments were $451 million in 2022, $439 million in 2021 and $426 million in 2020. Annual dividends declared were $1.48 per share in 2022, $1.46 per share in 2021 and $1.40 per share in 2020. The 2022 fourth quarter dividend was $.37 per share. The declaration of dividends is subject to the discretion of our Board and depends on various factors, including our net earnings, financial condition, cash requirements, future prospects and other factors that our Board deems relevant to its analysis and decision making.</w:t>
      </w:r>
    </w:p>
    <w:p>
      <w:pPr>
        <w:spacing w:after="0" w:line="55"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In June 2021, the Board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anti-dilutive program may be made in open-market or privately negotiated transactions. 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In 2022, we repurchased 3.8 million shares at a cost of $167 million. Of this amount, $42 million was used to repurchase shares pursuant to our June 2021 program and $125 million was used to repurchase share pursuant to our September 2021 program. As of July 31, 2022, approximately $172 million remained available under the June 2021 program and approximately $375 million remained under the September 2021 program. In 2021, we repurchased approximately 1 million shares at a cost of $36 million. See Note 16 to the Consolidated Financial Statements and "Market for Registrant's Capital Stock, Related Shareholder Matters and Issuer Purchases of Equity Securities" for additional information.</w:t>
      </w:r>
    </w:p>
    <w:p>
      <w:pPr>
        <w:spacing w:after="0" w:line="6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On March 4, 2022, we completed the redemption of all $450 million outstanding aggregate principal amount of our 2.50% Senior Notes due August 2, 2022. The consideration for the redemption was $453 million, including $3 million of premium. We recognized a loss of $4 million (including the $3 million of premium and other costs), which was recorded in Interest expense in the Consolidated Statement of Earnings. In addition, we paid accrued and unpaid interest on the redeemed notes through the date of settlement. We used a combination of cash on hand and short-term debt to fund the redemption.</w:t>
      </w:r>
    </w:p>
    <w:p>
      <w:pPr>
        <w:spacing w:after="0" w:line="5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 March 2021, we repaid our 3.30% $321 million notes and floating rate $400 million notes, and in May 2021, we repaid our 8.875% $200 million notes. The repayments were funded with available cash and commercial paper issuances.</w:t>
      </w:r>
    </w:p>
    <w:p>
      <w:pPr>
        <w:spacing w:after="0" w:line="23"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On April 24, 2020, we issued senior unsecured notes in an aggregate principal amount of $1 billion, consisting of $500 million aggregate principal amount of notes bearing interest at a fixed rate of 2.375% per annum, due April 24, 2030, and $500 million aggregate principal amount of notes bearing interest at a fixed rate of 3.125% per annum, due April 24, 2050. On May 1, 2020, we used $300 million of the net proceeds to repay $300 million of borrowings outstanding under a revolving credit facility.</w:t>
      </w:r>
    </w:p>
    <w:p>
      <w:pPr>
        <w:spacing w:after="0" w:line="54"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As of July 31, 2022, we had $814 million of short-term borrowings due within one year, of which $235 million was comprised of commercial paper borrowings. As of July 31, 2022, we issued $32 million of standby letters of credit. On November 2, 2020, we entered into a committed revolving credit facility totaling $1.85 billion scheduled to mature on November 2, 2023. On September 27, 2021, we replaced the facility with a new $1.85 billion committed revolving facility that matures on September 27, 2026. This facility remained unused at July 31, 2022, except for $1 million of standby letters of credit that we issued under it. The facility contains customary covenants, including a financial covenant with respect to a minimum consolidated interest coverage ratio of consolidated adjusted EBITDA to consolidated interest expense (as each is defined in the credit facility) of not less than 3.25:1.00, measured quarterly, and customary events of default for credit facilities of this type. Loans under this facility will bear interest at the rates specified in the facility, which vary based on the type of loan and certain other customary conditions. The facility supports our commercial paper program and other general corporate purposes. We expect to continue to access the commercial paper markets, bank credit lines and utilize cash flows from operations to support our short-term liquidity requirements.</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in compliance with the covenants contained in our credit facilities and debt securities.</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September 2020, we filed a registration statement with the Securities and Exchange Commission that registered an indeterminate amount of debt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registration statement we may issue debt securities from time to time, depending on market conditions.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OTHER COMMITMENTS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Contractual Obligations</w:t>
      </w:r>
    </w:p>
    <w:p>
      <w:pPr>
        <w:spacing w:after="0" w:line="10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have short- and long-term material cash requirements related to our contractual obligations that arise in the normal course of business. In addition to principal and interest payments on our outstanding debt obligations, our contractual obligations primarily consist of purchase commitments, lease payments and pension and postretirement benefits.</w:t>
      </w:r>
    </w:p>
    <w:p>
      <w:pPr>
        <w:spacing w:after="0" w:line="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See Note 12 to the Consolidated Financial Statements for a summary of our principal payments for short-term borrowings and long-term debt obligations as of July 31, 2022. Interest payments for short-term borrowings and long-term debt as of July 31, 2022 are approximately as follows: $165 million in 2023; $290 million in 2024 through 2025; $220 million in 2026 through 2027; and $1.2 billion from 2028 through maturity.</w:t>
      </w:r>
    </w:p>
    <w:p>
      <w:pPr>
        <w:spacing w:after="0" w:line="38"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Purchase commitments represent purchase orders and long-term purchase arrangements related to the procurement of ingredients, supplies, machinery, equipment and services. As of July 31, 2022, purchase commitments totaled approximately $1.535 billion. Approximately $1.27 billion of these purchase commitments will be settled in the ordinary course of business in the next 12 months and the balance of $265 million from 2024 through 2027.</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Note 10 to the Consolidated Financial Statements for a summary of our lease obligations as of July 31, 2022.</w:t>
      </w:r>
    </w:p>
    <w:p>
      <w:pPr>
        <w:spacing w:after="0" w:line="10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As of July 31, 2022, we recognized a pension liability of $120 million and a postretirement benefit obligation of $172 million. As of July 31, 2022, we also recognized a pension asset of $146 million based on the funded status of certain plans. See Note 9 to the Consolidated Financial Statements and "Significant Accounting Estimates" for further discussion of our pension and postretirement benefit obligations.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 and Other Commitments</w:t>
      </w:r>
    </w:p>
    <w:p>
      <w:pPr>
        <w:spacing w:after="0" w:line="10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guarantee approximately 4,800 bank loans made to independent contractor distributors by third-party financial institutions for the purchase of distribution routes. The maximum potential amount of the future payments under existing guarantees we could be required to make is $500 million as of July 31, 2022. Our guarantees are indirectly secured by the distribution routes. We do not expect that we will be required to make material guarantee payments as a result of defaults on the bank loans guaranteed.</w:t>
      </w:r>
    </w:p>
    <w:p>
      <w:pPr>
        <w:spacing w:after="0" w:line="5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These obligations and commitments impact our liquidity and capital resource needs. 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RISK SENSITIVITY</w:t>
      </w:r>
    </w:p>
    <w:p>
      <w:pPr>
        <w:spacing w:after="0" w:line="105"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The principal market risks to which we are exposed are changes in foreign currency exchange rates, interest rates and commodity prices. In addition, we are exposed to equity price changes related to certain deferred compensation obligations. We manage our foreign currency exposures by utilizing foreign exchange forward contracts. We enter into foreign exchange forward contracts for periods consistent with related underlying exposures, and the contracts do not constitute positions independent of those exposures. We manage our exposure to changes in interest rates by optimizing the use of variable-rate and fixed-rate debt and we may utilize interest rate swaps in order to maintain our variable-to-total debt ratio within targeted guidelines. 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natural gas, soybean oil, aluminum, cocoa, corn, soybean meal and butter. We do not enter into derivative contracts for speculative purposes and do not use leveraged instruments.</w:t>
      </w:r>
    </w:p>
    <w:p>
      <w:pPr>
        <w:spacing w:after="0" w:line="6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 information below summarizes our market risks associated with significant financial instruments as of July 31, 2022. Fair values included herein have been determined based on quoted market prices or pricing models using current market rates. The information presented below should be read in conjunction with Notes 12, 13 and 15 to the Consolidated Financial Statements.</w:t>
      </w:r>
    </w:p>
    <w:p>
      <w:pPr>
        <w:spacing w:after="0" w:line="38"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are exposed to foreign currency exchange risk, primarily the Canadian dollar, related to third-party transactions and intercompany transactions. We utilize foreign exchange forward purchase and sale contracts to hedge these exposures. The notional amounts of the contracts as of July 31, 2022, and August 1, 2021, were $153 million and $147 million, respectively. The aggregate fair value of all contracts was a gain of $2 million as of July 31, 2022, and a loss of $2 million as of August 1, 2021. A hypothetical 10% fluctuation in exchange rates would impact the fair value of our outstanding foreign exchange contracts by $17 million as of July 31, 2022, and as of August 1, 2021, which would generally be offset by inverse changes on the underlying hedged items.</w:t>
      </w:r>
    </w:p>
    <w:p>
      <w:pPr>
        <w:spacing w:after="0" w:line="57"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As of July 31, 2022, we had outstanding variable-rate debt of $235 million with an average interest rate of 2.63%. As of August 1, 2021, we had outstanding variable-rate debt of $37 million with an average interest rate of 0.22%. A hypothetical</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7"/>
          <w:szCs w:val="17"/>
          <w:color w:val="auto"/>
        </w:rPr>
        <w:t>100-basis-point increase in average interest rates applied to our variable-rate debt balances throughout 2022 and 2021 would have increased annual interest expense in those years by approximately $1 million and $3 million, respectively.</w:t>
      </w:r>
    </w:p>
    <w:p>
      <w:pPr>
        <w:spacing w:after="0" w:line="23"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As of July 31, 2022, we had outstanding fixed-rate debt of $4.609 billion with a weighted average interest rate of 3.76%. As of August 1, 2021, we had outstanding fixed-rate debt of $5.059 billion with an average interest rate of 3.65%. The fair value of fixed-rate debt was $4.402 billion as of July 31, 2022 and $5.576 billion as of August 1, 2021. As of July 31, 2022, and August 1, 2021, a hypothetical 100-basis-point increase in interest rates would decrease the fair value of our fixed rate debt by approximately $274 million and $399 million, respectively, while a hypothetical 100-basis-point decrease in interest rates would increase the fair value of our fixed rate debt by approximately $318 million and $463 million, respectively. The impact of market interest rate fluctuations on our long-term debt does not affect our results of operations or financial position.</w:t>
      </w:r>
    </w:p>
    <w:p>
      <w:pPr>
        <w:spacing w:after="0" w:line="61"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We enter into commodity futures, options and swap contracts, and a supply contract under which prices for certain raw materials are established based on anticipated volume requirements to reduce the volatility of price fluctuations for commodities. As of July 31, 2022, the total notional amount of the contracts was $296 million, and the aggregate fair value of these contracts was a loss of $7 million. As of August 1, 2021, the total notional amount of these contracts was $246 million, and the aggregate fair value of these contracts was a gain of $53 million. A hypothetical 10% fluctuation in commodity prices would impact the fair value of our outstanding commodity contracts by approximately $30 million as of July 31, 2022, and as of August 1, 2021, which would generally be offset by inverse changes on the underlying hedged items.</w:t>
      </w:r>
    </w:p>
    <w:p>
      <w:pPr>
        <w:spacing w:after="0" w:line="61"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We enter into swap contracts which hedge a portion of exposures relating to certain deferred compensation obligations linked to the total return of the Vanguard Extended Market Index Plus Fund, the Vanguard Institutional Index Institutional Plus Fund, the Vanguard Short-Term Bond Index Fund and the Vanguard Total International Stock Index Fund. Prior to 2022, we had entered into swap contracts which hedged a portion of exposures linked to the total return of our capital stock. As of July 31, 2022, and August 1, 2021, we no longer hedge our exposure linked to the total return of our capital stock. The notional amount of the contracts was $50 million as of July 31, 2022, and $29 million as of August 1, 2021. The fair value of these contracts was a loss of $4 million as of July 31, 2022, and a gain of $3 million as of August 1, 2021. A hypothetical 10% fluctuation in equity price changes would impact the fair value of our outstanding swap contracts by $5 million as of July 31, 2022, and $3 million as of August 1, 2021, which would generally be offset by inverse changes on the underlying hedged items.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SIGNIFICANT ACCOUNTING ESTIMATES</w:t>
      </w:r>
    </w:p>
    <w:p>
      <w:pPr>
        <w:spacing w:after="0" w:line="10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See Note 1 to the Consolidated Financial Statements for a discussion of significant accounting policies. The following areas all require the use of subjective or complex judgments, estimates and assumptions:</w:t>
      </w:r>
    </w:p>
    <w:p>
      <w:pPr>
        <w:spacing w:after="0" w:line="53"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Trade and consumer promotion programs — </w:t>
      </w:r>
      <w:r>
        <w:rPr>
          <w:rFonts w:ascii="Times New Roman" w:cs="Times New Roman" w:eastAsia="Times New Roman" w:hAnsi="Times New Roman"/>
          <w:sz w:val="17"/>
          <w:szCs w:val="17"/>
          <w:color w:val="auto"/>
        </w:rPr>
        <w:t>We offer various sales incentive programs to customers and consumers, such as feature price discounts, in-store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display incentives, cooperative advertising programs, new product introduction fees and coupons. The mix between these forms of variable consideration, which are classified as reductions in revenue and recognized upon sale, and advertising or other marketing activities, which are classified as marketing and selling expenses, fluctuates between periods based on our overall marketing plans. The measurement and recognition of the costs for trade and consumer promotion programs involves the use of judgment related to performance and redemption estimates. Estimates are made based on historical experience and other factors, including expected volume. Typically, programs that are offered have a very short duration. Historically, the difference between actual experience compared to estimated redemptions and performance has not been significant to the quarterly or annual financial statements. Differences between estimates and actual costs are recognized as a change in estimate in a subsequent period. However, actual expenses may differ if the level of redemption rates and performance were to vary from estimates. Accrued trade and consumer promotion liabilities as of July 31, 2022 and August 1, 2021 were $141 million and $121 million, respectively.</w:t>
      </w:r>
    </w:p>
    <w:p>
      <w:pPr>
        <w:spacing w:after="0" w:line="48" w:lineRule="exact"/>
        <w:rPr>
          <w:sz w:val="20"/>
          <w:szCs w:val="20"/>
          <w:color w:val="auto"/>
        </w:rPr>
      </w:pPr>
    </w:p>
    <w:p>
      <w:pPr>
        <w:jc w:val="both"/>
        <w:ind w:firstLine="30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Valuation of long-lived assets — </w:t>
      </w:r>
      <w:r>
        <w:rPr>
          <w:rFonts w:ascii="Times New Roman" w:cs="Times New Roman" w:eastAsia="Times New Roman" w:hAnsi="Times New Roman"/>
          <w:sz w:val="17"/>
          <w:szCs w:val="17"/>
          <w:color w:val="auto"/>
        </w:rPr>
        <w:t>Fixed assets and amortizable intangible assets are reviewed for impairment as events or changes in circumstances occur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indicating that the carrying value of the asset may not be recoverable. Undiscounted cash flow analyses are used to determine if impairment exists. If impairment is determined to exist, the loss is calculated based on estimated fair value.</w:t>
      </w:r>
    </w:p>
    <w:p>
      <w:pPr>
        <w:spacing w:after="0" w:line="48"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Goodwill and intangible assets deemed to have indefinite lives are not amortized but rather are tested at least annually in the fourth quarter for impairment, or more often if events or changes in circumstances indicate that more likely than not the carrying amount of the asset may not be recoverable.</w:t>
      </w:r>
    </w:p>
    <w:p>
      <w:pPr>
        <w:spacing w:after="0" w:line="3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Goodwill is tested for impairment at the reporting unit level. A reporting unit represents an operating segment or a component of an operating segment. Goodwill is tested for impairment by either performing a qualitative evaluation or a quantitative test. The qualitative evaluation is an assessment of factors to determine whether it is more likely than not that the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7"/>
          <w:szCs w:val="17"/>
          <w:color w:val="auto"/>
        </w:rPr>
        <w:t>fair value of a reporting unit is less than its carrying amount, including goodwill. We may elect not to perform the qualitative assessment for some or all reporting units and perform a quantitative impairment test. Fair value is determined based on discounted cash flow analyses. The discounted estimates of future cash flows include significant management assumptions such as revenue growth rates, operating margins, weighted average costs of capital and future economic and market conditions. If the carrying value of the reporting unit exceeds fair value, goodwill is considered impaired. An impairment charge is recognized for the amount by which the carrying value of the reporting unit exceeds fair value, limited to the amount of goodwill in the reporting unit.</w:t>
      </w:r>
    </w:p>
    <w:p>
      <w:pPr>
        <w:spacing w:after="0" w:line="4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Indefinite-lived intangible assets are tested for impairment by comparing the fair value of the asset to the carrying value. Fair value is determined using a relief from royalty valuation method based on discounted cash flow analyses that include significant management assumptions such as revenue growth rates, weighted average costs of capital and assumed royalty rates. If the carrying value exceeds fair value, an impairment charge will be recorded to reduce the asset to fair value.</w:t>
      </w:r>
    </w:p>
    <w:p>
      <w:pPr>
        <w:spacing w:after="0" w:line="5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As of July 31, 2022, the carrying value of goodwill was $3.979 billion. Based on our assessments, all of our reporting units had fair values that significantly exceeded carrying values.</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July 31, 2022, the carrying value of indefinite-lived trademarks was $2.549 billion as detailed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
        </w:trPr>
        <w:tc>
          <w:tcPr>
            <w:tcW w:w="9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Snyder's of Hanover</w:t>
            </w: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r>
      <w:tr>
        <w:trPr>
          <w:trHeight w:val="219"/>
        </w:trPr>
        <w:tc>
          <w:tcPr>
            <w:tcW w:w="97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Lance</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Kettle Brand</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r>
      <w:tr>
        <w:trPr>
          <w:trHeight w:val="219"/>
        </w:trPr>
        <w:tc>
          <w:tcPr>
            <w:tcW w:w="97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Pace</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Pacific Foods</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r>
      <w:tr>
        <w:trPr>
          <w:trHeight w:val="219"/>
        </w:trPr>
        <w:tc>
          <w:tcPr>
            <w:tcW w:w="972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Various other Snacks</w:t>
            </w:r>
            <w:r>
              <w:rPr>
                <w:rFonts w:ascii="Times New Roman" w:cs="Times New Roman" w:eastAsia="Times New Roman" w:hAnsi="Times New Roman"/>
                <w:sz w:val="22"/>
                <w:szCs w:val="22"/>
                <w:color w:val="auto"/>
                <w:vertAlign w:val="superscript"/>
              </w:rPr>
              <w:t>(1)</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w:t>
            </w:r>
          </w:p>
        </w:tc>
      </w:tr>
      <w:tr>
        <w:trPr>
          <w:trHeight w:val="237"/>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2,549</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w:t>
      </w:r>
    </w:p>
    <w:p>
      <w:pPr>
        <w:spacing w:after="0" w:line="58" w:lineRule="exact"/>
        <w:rPr>
          <w:sz w:val="20"/>
          <w:szCs w:val="20"/>
          <w:color w:val="auto"/>
        </w:rPr>
      </w:pPr>
    </w:p>
    <w:p>
      <w:pPr>
        <w:ind w:left="300" w:hanging="297"/>
        <w:spacing w:after="0"/>
        <w:tabs>
          <w:tab w:leader="none" w:pos="300"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Associated with the acquisition of Snyder's-Lance.</w:t>
      </w:r>
    </w:p>
    <w:p>
      <w:pPr>
        <w:spacing w:after="0" w:line="73"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 xml:space="preserve">As of the 2022 impairment testing, indefinite-lived trademarks with 10% or less of excess coverage of fair value over carrying value had an aggregate carrying value of $434 million and included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and certain other Snacks trademarks. Although assumptions are generally interdependent and do not change in isolation, sensitivities to changes are provided below. Holding all other assumptions in our 2022 impairment testing constant, changes in the assumptions below would reduce fair value of trademarks and result in impairment charges of approximately:</w:t>
      </w:r>
    </w:p>
    <w:p>
      <w:pPr>
        <w:sectPr>
          <w:pgSz w:w="11900" w:h="16838" w:orient="portrait"/>
          <w:cols w:equalWidth="0" w:num="1">
            <w:col w:w="11240"/>
          </w:cols>
          <w:pgMar w:left="320" w:top="947" w:right="339" w:bottom="1440" w:gutter="0" w:footer="0" w:header="0"/>
        </w:sect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40" w:lineRule="exact"/>
        <w:rPr>
          <w:sz w:val="20"/>
          <w:szCs w:val="20"/>
          <w:color w:val="auto"/>
        </w:rPr>
      </w:pPr>
    </w:p>
    <w:p>
      <w:pPr>
        <w:ind w:left="20"/>
        <w:spacing w:after="0" w:line="247" w:lineRule="auto"/>
        <w:rPr>
          <w:sz w:val="20"/>
          <w:szCs w:val="20"/>
          <w:color w:val="auto"/>
        </w:rPr>
      </w:pPr>
      <w:r>
        <w:rPr>
          <w:rFonts w:ascii="Times New Roman" w:cs="Times New Roman" w:eastAsia="Times New Roman" w:hAnsi="Times New Roman"/>
          <w:sz w:val="17"/>
          <w:szCs w:val="17"/>
          <w:color w:val="auto"/>
        </w:rPr>
        <w:t>1% increase in the weighted-average cost of capital</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 reduction in revenue growth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 decrease in royalty rate</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w w:val="98"/>
              </w:rPr>
              <w:t>Snyder's of</w:t>
            </w:r>
          </w:p>
        </w:tc>
        <w:tc>
          <w:tcPr>
            <w:tcW w:w="260" w:type="dxa"/>
            <w:vAlign w:val="bottom"/>
          </w:tcPr>
          <w:p>
            <w:pPr>
              <w:spacing w:after="0"/>
              <w:rPr>
                <w:sz w:val="13"/>
                <w:szCs w:val="13"/>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Lance</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38"/>
              <w:spacing w:after="0"/>
              <w:rPr>
                <w:sz w:val="20"/>
                <w:szCs w:val="20"/>
                <w:color w:val="auto"/>
              </w:rPr>
            </w:pPr>
            <w:r>
              <w:rPr>
                <w:rFonts w:ascii="Times New Roman" w:cs="Times New Roman" w:eastAsia="Times New Roman" w:hAnsi="Times New Roman"/>
                <w:sz w:val="14"/>
                <w:szCs w:val="14"/>
                <w:b w:val="1"/>
                <w:bCs w:val="1"/>
                <w:i w:val="1"/>
                <w:iCs w:val="1"/>
                <w:color w:val="auto"/>
              </w:rPr>
              <w:t>Kettle Brand</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Pace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i w:val="1"/>
                <w:iCs w:val="1"/>
                <w:color w:val="auto"/>
              </w:rPr>
              <w:t>Pacific Foods</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w w:val="99"/>
              </w:rPr>
              <w:t>Various Other</w:t>
            </w:r>
          </w:p>
        </w:tc>
        <w:tc>
          <w:tcPr>
            <w:tcW w:w="0" w:type="dxa"/>
            <w:vAlign w:val="bottom"/>
          </w:tcPr>
          <w:p>
            <w:pPr>
              <w:spacing w:after="0"/>
              <w:rPr>
                <w:sz w:val="1"/>
                <w:szCs w:val="1"/>
                <w:color w:val="auto"/>
              </w:rPr>
            </w:pPr>
          </w:p>
        </w:tc>
      </w:tr>
      <w:tr>
        <w:trPr>
          <w:trHeight w:val="187"/>
        </w:trPr>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i w:val="1"/>
                <w:iCs w:val="1"/>
                <w:color w:val="auto"/>
                <w:w w:val="98"/>
              </w:rPr>
              <w:t>Hanover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0" w:type="dxa"/>
            <w:vAlign w:val="bottom"/>
          </w:tcPr>
          <w:p>
            <w:pPr>
              <w:spacing w:after="0"/>
              <w:rPr>
                <w:sz w:val="1"/>
                <w:szCs w:val="1"/>
                <w:color w:val="auto"/>
              </w:rPr>
            </w:pPr>
          </w:p>
        </w:tc>
      </w:tr>
      <w:tr>
        <w:trPr>
          <w:trHeight w:val="294"/>
        </w:trPr>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24"/>
                <w:szCs w:val="24"/>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305"/>
        </w:trPr>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3"/>
        </w:trPr>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-2321560</wp:posOffset>
            </wp:positionH>
            <wp:positionV relativeFrom="paragraph">
              <wp:posOffset>-531495</wp:posOffset>
            </wp:positionV>
            <wp:extent cx="7138670" cy="2533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253365"/>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-138430</wp:posOffset>
            </wp:positionV>
            <wp:extent cx="7138670" cy="139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3060" w:space="600"/>
            <w:col w:w="7580"/>
          </w:cols>
          <w:pgMar w:left="320" w:top="947" w:right="339" w:bottom="1440" w:gutter="0" w:footer="0" w:header="0"/>
          <w:type w:val="continuous"/>
        </w:sect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 xml:space="preserve">While the 1% changes in assumptions would not result in impairment charges on certain trademarks as indicated above, some changes would reduce the excess coverage of fair value over carrying value to less than 10% for the </w:t>
      </w:r>
      <w:r>
        <w:rPr>
          <w:rFonts w:ascii="Times New Roman" w:cs="Times New Roman" w:eastAsia="Times New Roman" w:hAnsi="Times New Roman"/>
          <w:sz w:val="17"/>
          <w:szCs w:val="17"/>
          <w:i w:val="1"/>
          <w:iCs w:val="1"/>
          <w:color w:val="auto"/>
        </w:rPr>
        <w:t>Lance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Pace</w:t>
      </w:r>
      <w:r>
        <w:rPr>
          <w:rFonts w:ascii="Times New Roman" w:cs="Times New Roman" w:eastAsia="Times New Roman" w:hAnsi="Times New Roman"/>
          <w:sz w:val="17"/>
          <w:szCs w:val="17"/>
          <w:color w:val="auto"/>
        </w:rPr>
        <w:t xml:space="preserve"> trademarks.</w:t>
      </w:r>
    </w:p>
    <w:p>
      <w:pPr>
        <w:spacing w:after="0" w:line="23"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The estimates of future cash flows used in impairment testing are made at a point in time, involve considerable management judgment, and are based upon assumptions about expected future operating performance, assumed royalty rates,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 If assumptions are not achieved or market conditions decline, potential impairment charges could result. We will continue to monitor the valuation of our long-lived assets.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also Note 5 to the Consolidated Financial Statements for additional information on goodwill and intangible assets.</w:t>
      </w:r>
    </w:p>
    <w:p>
      <w:pPr>
        <w:spacing w:after="0" w:line="97"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Pension and postretirement benefits — </w:t>
      </w:r>
      <w:r>
        <w:rPr>
          <w:rFonts w:ascii="Times New Roman" w:cs="Times New Roman" w:eastAsia="Times New Roman" w:hAnsi="Times New Roman"/>
          <w:sz w:val="17"/>
          <w:szCs w:val="17"/>
          <w:color w:val="auto"/>
        </w:rPr>
        <w:t>We provide certain pension and postretirement benefits to employees and retirees. Determining the cost associated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benefits is dependent on various actuarial assumptions, including discount rates, expected return on plan assets, compensation increases, turnover rates and health care trend rates. Independent actuaries, in accordance with accounting principles generally accepted in the United States, perform the required calculations to determine expense. Actuarial gains and losses are recognized immediately in Other expenses / (income) in the Consolidated Statements of</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type w:val="continuous"/>
        </w:sectPr>
      </w:pPr>
    </w:p>
    <w:bookmarkStart w:id="31" w:name="page32"/>
    <w:bookmarkEnd w:id="31"/>
    <w:p>
      <w:pPr>
        <w:jc w:val="both"/>
        <w:spacing w:after="0" w:line="286" w:lineRule="auto"/>
        <w:rPr>
          <w:sz w:val="20"/>
          <w:szCs w:val="20"/>
          <w:color w:val="auto"/>
        </w:rPr>
      </w:pPr>
      <w:r>
        <w:rPr>
          <w:rFonts w:ascii="Times New Roman" w:cs="Times New Roman" w:eastAsia="Times New Roman" w:hAnsi="Times New Roman"/>
          <w:sz w:val="17"/>
          <w:szCs w:val="17"/>
          <w:color w:val="auto"/>
        </w:rPr>
        <w:t>Earnings as of the measurement date, which is our fiscal year end, or more frequently if an interim remeasurement is required. We use the fair value of plan assets to calculate the expected return on plan assets.</w:t>
      </w:r>
    </w:p>
    <w:p>
      <w:pPr>
        <w:spacing w:after="0" w:line="23"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establishing the discount rate, we review published market indices of high-quality debt securities, adjusted as appropriate for duration. In addition, independent actuaries apply high-quality bond yield curves to the expected benefit payments of the plans. We use a full yield curve approach to estimate service cost and interest cost by applying the specific spot rates along the yield curve used to determine the benefit obligation of the relevant projected cash flows.</w:t>
      </w:r>
    </w:p>
    <w:p>
      <w:pPr>
        <w:spacing w:after="0" w:line="5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expected return on plan assets is a long-term assumption based upon historical experience and expected future performance, considering our current and projected investment mix. This estimate is based on an estimate of future inflation, long-term projected real returns for each asset class and a premium for active management. Within any given fiscal period, significant differences may arise between the actual return and the expected return on plan assets. Gains and losses resulting from differences between actual experience and the assumptions are determined at each measurement date.</w:t>
      </w:r>
    </w:p>
    <w:p>
      <w:pPr>
        <w:spacing w:after="0" w:line="5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As of July 31, 2022, we recognized a pension liability of $120 million and a postretirement benefit obligation of $172 million. As of July 31, 2022, we also recognized a pension asset of $146 million based on the funded status of certain plans.</w:t>
      </w:r>
    </w:p>
    <w:p>
      <w:pPr>
        <w:spacing w:after="0" w:line="23"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Net periodic pension and postretirement benefit expense (income) and actuarial losses (gains) included within net periodic pension and benefit expense (income)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
        </w:trPr>
        <w:tc>
          <w:tcPr>
            <w:tcW w:w="86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8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periodic pension and postretirement benefit expense (income)</w:t>
            </w:r>
          </w:p>
        </w:tc>
        <w:tc>
          <w:tcPr>
            <w:tcW w:w="56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310"/>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Actuarial losses (gains)</w:t>
            </w:r>
          </w:p>
        </w:tc>
        <w:tc>
          <w:tcPr>
            <w:tcW w:w="560" w:type="dxa"/>
            <w:vAlign w:val="bottom"/>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44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r>
    </w:tbl>
    <w:p>
      <w:pPr>
        <w:spacing w:after="0" w:line="150"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actuarial losses recognized in 2022 were primarily due to losses on plan assets, partially offset by increases in discount rates used to determine the benefit obligation. The actuarial gains recognized in 2021 were primarily due to higher than anticipated investment gains on plan assets and increases in discount rates used to determine the benefit obligation. The actuarial losses recognized in 2020 were primarily due to decreases in discount rates used to determine the benefit obligation, partially offset by higher than anticipated investment gains on plan assets.</w:t>
      </w:r>
    </w:p>
    <w:p>
      <w:pPr>
        <w:spacing w:after="0" w:line="5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Based on benefit obligations and plan assets as of July 31, 2022, net periodic pension and postretirement benefit income excluding any actuarial losses or gains is estimated to be approximately $35 million lower in 2023, subject to the impact of interim remeasurements. The decrease in 2023 is due to increases in discount rates used to determine the benefit obligations and a decline in the market value of plan assets.</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Significant weighted-average assumptions as of the end of the year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6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620" w:type="dxa"/>
            <w:vAlign w:val="bottom"/>
            <w:gridSpan w:val="3"/>
            <w:shd w:val="clear" w:color="auto" w:fill="CCEEFF"/>
          </w:tcPr>
          <w:p>
            <w:pPr>
              <w:spacing w:after="0" w:line="160" w:lineRule="exact"/>
              <w:rPr>
                <w:sz w:val="20"/>
                <w:szCs w:val="20"/>
                <w:color w:val="auto"/>
              </w:rPr>
            </w:pPr>
            <w:r>
              <w:rPr>
                <w:rFonts w:ascii="Times New Roman" w:cs="Times New Roman" w:eastAsia="Times New Roman" w:hAnsi="Times New Roman"/>
                <w:sz w:val="17"/>
                <w:szCs w:val="17"/>
                <w:color w:val="auto"/>
              </w:rPr>
              <w:t>Pension</w:t>
            </w: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39"/>
        </w:trPr>
        <w:tc>
          <w:tcPr>
            <w:tcW w:w="20" w:type="dxa"/>
            <w:vAlign w:val="bottom"/>
            <w:shd w:val="clear" w:color="auto" w:fill="CCEEFF"/>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7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r>
        <w:trPr>
          <w:trHeight w:val="219"/>
        </w:trPr>
        <w:tc>
          <w:tcPr>
            <w:tcW w:w="20" w:type="dxa"/>
            <w:vAlign w:val="bottom"/>
          </w:tcPr>
          <w:p>
            <w:pPr>
              <w:spacing w:after="0"/>
              <w:rPr>
                <w:sz w:val="19"/>
                <w:szCs w:val="19"/>
                <w:color w:val="auto"/>
              </w:rPr>
            </w:pPr>
          </w:p>
        </w:tc>
        <w:tc>
          <w:tcPr>
            <w:tcW w:w="8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Discount rate for benefit obligations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4.58%</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2.69%</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2.47%</w:t>
            </w:r>
          </w:p>
        </w:tc>
      </w:tr>
      <w:tr>
        <w:trPr>
          <w:trHeight w:val="219"/>
        </w:trPr>
        <w:tc>
          <w:tcPr>
            <w:tcW w:w="20" w:type="dxa"/>
            <w:vAlign w:val="bottom"/>
            <w:shd w:val="clear" w:color="auto" w:fill="CCEEFF"/>
          </w:tcPr>
          <w:p>
            <w:pPr>
              <w:spacing w:after="0"/>
              <w:rPr>
                <w:sz w:val="19"/>
                <w:szCs w:val="19"/>
                <w:color w:val="auto"/>
              </w:rPr>
            </w:pPr>
          </w:p>
        </w:tc>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6.40%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5.82%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6.01%</w:t>
            </w:r>
          </w:p>
        </w:tc>
      </w:tr>
      <w:tr>
        <w:trPr>
          <w:trHeight w:val="180"/>
        </w:trPr>
        <w:tc>
          <w:tcPr>
            <w:tcW w:w="20" w:type="dxa"/>
            <w:vAlign w:val="bottom"/>
          </w:tcPr>
          <w:p>
            <w:pPr>
              <w:spacing w:after="0"/>
              <w:rPr>
                <w:sz w:val="15"/>
                <w:szCs w:val="15"/>
                <w:color w:val="auto"/>
              </w:rPr>
            </w:pPr>
          </w:p>
        </w:tc>
        <w:tc>
          <w:tcPr>
            <w:tcW w:w="862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auto"/>
              </w:rPr>
              <w:t>Postretirement</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8"/>
        </w:trPr>
        <w:tc>
          <w:tcPr>
            <w:tcW w:w="20" w:type="dxa"/>
            <w:vAlign w:val="bottom"/>
            <w:shd w:val="clear" w:color="auto" w:fill="CCEEFF"/>
          </w:tcPr>
          <w:p>
            <w:pPr>
              <w:spacing w:after="0"/>
              <w:rPr>
                <w:sz w:val="19"/>
                <w:szCs w:val="19"/>
                <w:color w:val="auto"/>
              </w:rPr>
            </w:pPr>
          </w:p>
        </w:tc>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Discount rate for obligations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4.48%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2.15%</w:t>
            </w:r>
          </w:p>
        </w:tc>
      </w:tr>
    </w:tbl>
    <w:p>
      <w:pPr>
        <w:spacing w:after="0" w:line="16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Based on benefit obligations and plan assets as of July 31, 2022, estimated sensitivities to 2023 annual net periodic pension and postretirement cost are as follows:</w:t>
      </w:r>
    </w:p>
    <w:p>
      <w:pPr>
        <w:spacing w:after="0" w:line="23" w:lineRule="exact"/>
        <w:rPr>
          <w:sz w:val="20"/>
          <w:szCs w:val="20"/>
          <w:color w:val="auto"/>
        </w:rPr>
      </w:pPr>
    </w:p>
    <w:p>
      <w:pPr>
        <w:ind w:left="620" w:hanging="153"/>
        <w:spacing w:after="0" w:line="286"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50-basis-point increase in the discount rate would result in expense of approximately $6 million and would result in an immediate actuarial gain recognition of approximately $69 million;</w:t>
      </w:r>
    </w:p>
    <w:p>
      <w:pPr>
        <w:spacing w:after="0" w:line="36" w:lineRule="exact"/>
        <w:rPr>
          <w:rFonts w:ascii="Times New Roman" w:cs="Times New Roman" w:eastAsia="Times New Roman" w:hAnsi="Times New Roman"/>
          <w:sz w:val="17"/>
          <w:szCs w:val="17"/>
          <w:color w:val="auto"/>
        </w:rPr>
      </w:pPr>
    </w:p>
    <w:p>
      <w:pPr>
        <w:ind w:left="620" w:hanging="153"/>
        <w:spacing w:after="0" w:line="286"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50-basis-point decline in the discount rate would result in income of approximately $6 million and would result in an immediate actuarial loss recognition of approximately $76 million; and</w:t>
      </w:r>
    </w:p>
    <w:p>
      <w:pPr>
        <w:spacing w:after="0" w:line="36"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50-basis-point reduction in the estimated return on assets assumption would result in expense of approximately $8 million.</w:t>
      </w:r>
    </w:p>
    <w:p>
      <w:pPr>
        <w:spacing w:after="0" w:line="88" w:lineRule="exact"/>
        <w:rPr>
          <w:sz w:val="20"/>
          <w:szCs w:val="20"/>
          <w:color w:val="auto"/>
        </w:rPr>
      </w:pPr>
    </w:p>
    <w:p>
      <w:pPr>
        <w:jc w:val="both"/>
        <w:ind w:firstLine="309"/>
        <w:spacing w:after="0" w:line="263" w:lineRule="auto"/>
        <w:rPr>
          <w:sz w:val="20"/>
          <w:szCs w:val="20"/>
          <w:color w:val="auto"/>
        </w:rPr>
      </w:pPr>
      <w:r>
        <w:rPr>
          <w:rFonts w:ascii="Times New Roman" w:cs="Times New Roman" w:eastAsia="Times New Roman" w:hAnsi="Times New Roman"/>
          <w:sz w:val="17"/>
          <w:szCs w:val="17"/>
          <w:color w:val="auto"/>
        </w:rPr>
        <w:t>There were no contributions to pension plans in 2022, and $2 million in 2021 and 2020. Contributions to pension plans are not expected to be material in 2023.</w:t>
      </w:r>
    </w:p>
    <w:p>
      <w:pPr>
        <w:spacing w:after="0" w:line="2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also Note 9 to the Consolidated Financial Statements for additional information on pension and postretirement benefits.</w:t>
      </w:r>
    </w:p>
    <w:p>
      <w:pPr>
        <w:spacing w:after="0" w:line="84"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Income taxes — </w:t>
      </w:r>
      <w:r>
        <w:rPr>
          <w:rFonts w:ascii="Times New Roman" w:cs="Times New Roman" w:eastAsia="Times New Roman" w:hAnsi="Times New Roman"/>
          <w:sz w:val="17"/>
          <w:szCs w:val="17"/>
          <w:color w:val="auto"/>
        </w:rPr>
        <w:t>The effective tax rate reflects statutory tax rates, tax planning opportunities available in the various jurisdictions in which we operate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management’s estimate of the ultimate outcome of various tax audits and issues. Significant judgment is required in determining the effective tax rate and in evaluating tax positions. Income taxes are recorded based on amounts refundable or payable in the current year and include the effect of deferred taxes. Deferred tax assets and liabilities are recognized for the future impact of differences between the financial statement carrying amounts of assets and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32" w:name="page33"/>
    <w:bookmarkEnd w:id="32"/>
    <w:p>
      <w:pPr>
        <w:jc w:val="both"/>
        <w:spacing w:after="0" w:line="269" w:lineRule="auto"/>
        <w:rPr>
          <w:sz w:val="20"/>
          <w:szCs w:val="20"/>
          <w:color w:val="auto"/>
        </w:rPr>
      </w:pPr>
      <w:r>
        <w:rPr>
          <w:rFonts w:ascii="Times New Roman" w:cs="Times New Roman" w:eastAsia="Times New Roman" w:hAnsi="Times New Roman"/>
          <w:sz w:val="17"/>
          <w:szCs w:val="17"/>
          <w:color w:val="auto"/>
        </w:rPr>
        <w:t>liabilities and their respective tax bases, as well as for operating loss and tax credit carryforwards. Deferred tax assets and liabilities are measured using enacted tax rates expected to apply to taxable income in the years in which those differences are expected to be recovered or settled. Valuation allowances are established for deferred tax assets when it is more likely than not that a tax benefit will not be realized.</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also Notes 1 and 11 to the Consolidated Financial Statements for further discussion on income taxes.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Note 2 to the Consolidated Financial Statements for information on recent accounting pronouncements.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FACTORS THAT MAY AFFECT FUTURE RESULTS</w:t>
      </w:r>
    </w:p>
    <w:p>
      <w:pPr>
        <w:spacing w:after="0" w:line="105"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26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wish to caution the reader that the following important factors and those important factors described in Part 1, Item 1A and elsewhere in this Report, or in our other Securities and Exchange Commission filings, could affect our actual results and could cause such results to vary materially from those expressed in any forward-looking statements made by, or on behalf of, us:</w:t>
      </w:r>
    </w:p>
    <w:p>
      <w:pPr>
        <w:spacing w:after="0" w:line="38" w:lineRule="exact"/>
        <w:rPr>
          <w:sz w:val="20"/>
          <w:szCs w:val="20"/>
          <w:color w:val="auto"/>
        </w:rPr>
      </w:pPr>
    </w:p>
    <w:p>
      <w:pPr>
        <w:ind w:left="620" w:hanging="308"/>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impacts of, and associated responses to the COVID-19 pandemic on our business, suppliers, customers, consumers and employees;</w:t>
      </w:r>
    </w:p>
    <w:p>
      <w:pPr>
        <w:spacing w:after="0" w:line="100" w:lineRule="exact"/>
        <w:rPr>
          <w:rFonts w:ascii="Times New Roman" w:cs="Times New Roman" w:eastAsia="Times New Roman" w:hAnsi="Times New Roman"/>
          <w:sz w:val="17"/>
          <w:szCs w:val="17"/>
          <w:color w:val="auto"/>
        </w:rPr>
      </w:pPr>
    </w:p>
    <w:p>
      <w:pPr>
        <w:ind w:left="620" w:right="80" w:hanging="308"/>
        <w:spacing w:after="0" w:line="286"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execute on and realize the expected benefits from our strategy, including growing sales in snacks and growing/maintaining our market share position in soup;</w:t>
      </w:r>
    </w:p>
    <w:p>
      <w:pPr>
        <w:spacing w:after="0" w:line="36"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strong competitive responses to our efforts to leverage brand power with product innovation, promotional programs and new advertising;</w:t>
      </w:r>
    </w:p>
    <w:p>
      <w:pPr>
        <w:spacing w:after="0" w:line="87" w:lineRule="exact"/>
        <w:rPr>
          <w:rFonts w:ascii="Times New Roman" w:cs="Times New Roman" w:eastAsia="Times New Roman" w:hAnsi="Times New Roman"/>
          <w:sz w:val="17"/>
          <w:szCs w:val="17"/>
          <w:color w:val="auto"/>
        </w:rPr>
      </w:pPr>
    </w:p>
    <w:p>
      <w:pPr>
        <w:ind w:left="620" w:right="600" w:hanging="308"/>
        <w:spacing w:after="0" w:line="286"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associated with trade and consumer acceptance of product improvements, shelving initiatives, new products and pricing and promotional strategies;</w:t>
      </w:r>
    </w:p>
    <w:p>
      <w:pPr>
        <w:spacing w:after="0" w:line="36"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realize projected cost savings and benefits from cost savings initiatives and the integration of recent acquisitions;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in or inefficiencies to our supply chain and/or operations including the impacts of the COVID-19 pandemic;</w:t>
      </w:r>
    </w:p>
    <w:p>
      <w:pPr>
        <w:spacing w:after="0" w:line="87" w:lineRule="exact"/>
        <w:rPr>
          <w:rFonts w:ascii="Times New Roman" w:cs="Times New Roman" w:eastAsia="Times New Roman" w:hAnsi="Times New Roman"/>
          <w:sz w:val="17"/>
          <w:szCs w:val="17"/>
          <w:color w:val="auto"/>
        </w:rPr>
      </w:pPr>
    </w:p>
    <w:p>
      <w:pPr>
        <w:ind w:left="620" w:right="1040" w:hanging="308"/>
        <w:spacing w:after="0" w:line="286"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related to the availability of, and cost inflation in, supply chain inputs, including labor, raw materials, commodities, packaging and transportation;</w:t>
      </w:r>
    </w:p>
    <w:p>
      <w:pPr>
        <w:spacing w:after="0" w:line="36"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effectiveness of our hedging activities and our ability to respond to volatility in commodity prices;</w:t>
      </w:r>
    </w:p>
    <w:p>
      <w:pPr>
        <w:spacing w:after="0" w:line="100" w:lineRule="exact"/>
        <w:rPr>
          <w:rFonts w:ascii="Times New Roman" w:cs="Times New Roman" w:eastAsia="Times New Roman" w:hAnsi="Times New Roman"/>
          <w:sz w:val="17"/>
          <w:szCs w:val="17"/>
          <w:color w:val="auto"/>
        </w:rPr>
      </w:pPr>
    </w:p>
    <w:p>
      <w:pPr>
        <w:ind w:left="620" w:right="300" w:hanging="308"/>
        <w:spacing w:after="0" w:line="286"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changes to our organizational structure and/or business processes, including selling, distribution, manufacturing and information management systems or processes;</w:t>
      </w:r>
    </w:p>
    <w:p>
      <w:pPr>
        <w:spacing w:after="0" w:line="2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consumer demand for our products and favorable perception of our brands;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inventory management practices by certain of our key customers;</w:t>
      </w:r>
    </w:p>
    <w:p>
      <w:pPr>
        <w:spacing w:after="0" w:line="87" w:lineRule="exact"/>
        <w:rPr>
          <w:rFonts w:ascii="Times New Roman" w:cs="Times New Roman" w:eastAsia="Times New Roman" w:hAnsi="Times New Roman"/>
          <w:sz w:val="17"/>
          <w:szCs w:val="17"/>
          <w:color w:val="auto"/>
        </w:rPr>
      </w:pPr>
    </w:p>
    <w:p>
      <w:pPr>
        <w:ind w:left="620" w:right="520" w:hanging="308"/>
        <w:spacing w:after="0" w:line="286"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changing customer landscape, with value and e-commerce retailers expanding their market presence, while certain of our key customers maintain significance to our business;</w:t>
      </w:r>
    </w:p>
    <w:p>
      <w:pPr>
        <w:spacing w:after="0" w:line="36"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quality and safety issues, including recalls and product liabilities;</w:t>
      </w:r>
    </w:p>
    <w:p>
      <w:pPr>
        <w:spacing w:after="0" w:line="100" w:lineRule="exact"/>
        <w:rPr>
          <w:rFonts w:ascii="Times New Roman" w:cs="Times New Roman" w:eastAsia="Times New Roman" w:hAnsi="Times New Roman"/>
          <w:sz w:val="17"/>
          <w:szCs w:val="17"/>
          <w:color w:val="auto"/>
        </w:rPr>
      </w:pPr>
    </w:p>
    <w:p>
      <w:pPr>
        <w:ind w:left="620" w:right="100" w:hanging="308"/>
        <w:spacing w:after="0" w:line="286"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2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uncertainties of litigation and regulatory actions against us;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disruption and diversion of management's attention associated with activist investors;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disruption, failure or security breach of our or our vendors' information technology systems, including ransomware attacks;</w:t>
      </w:r>
    </w:p>
    <w:p>
      <w:pPr>
        <w:spacing w:after="0" w:line="8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impairment to goodwill or other intangible assets;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33" w:name="page34"/>
    <w:bookmarkEnd w:id="33"/>
    <w:p>
      <w:pPr>
        <w:ind w:left="620" w:hanging="308"/>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our intellectual property rights;</w:t>
      </w:r>
    </w:p>
    <w:p>
      <w:pPr>
        <w:spacing w:after="0" w:line="8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liabilities and costs related to our defined benefit pension plans;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key talent;</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goals and initiatives related to, and the impacts of, climate change, including from weather-related events;</w:t>
      </w:r>
    </w:p>
    <w:p>
      <w:pPr>
        <w:spacing w:after="0" w:line="87" w:lineRule="exact"/>
        <w:rPr>
          <w:rFonts w:ascii="Times New Roman" w:cs="Times New Roman" w:eastAsia="Times New Roman" w:hAnsi="Times New Roman"/>
          <w:sz w:val="17"/>
          <w:szCs w:val="17"/>
          <w:color w:val="auto"/>
        </w:rPr>
      </w:pPr>
    </w:p>
    <w:p>
      <w:pPr>
        <w:ind w:left="620" w:right="280" w:hanging="308"/>
        <w:spacing w:after="0" w:line="286"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changes and volatility in financial and credit markets, deteriorating economic conditions and other external factors, including changes in laws and regulations; and</w:t>
      </w:r>
    </w:p>
    <w:p>
      <w:pPr>
        <w:spacing w:after="0" w:line="36" w:lineRule="exact"/>
        <w:rPr>
          <w:rFonts w:ascii="Times New Roman" w:cs="Times New Roman" w:eastAsia="Times New Roman" w:hAnsi="Times New Roman"/>
          <w:sz w:val="17"/>
          <w:szCs w:val="17"/>
          <w:color w:val="auto"/>
        </w:rPr>
      </w:pPr>
    </w:p>
    <w:p>
      <w:pPr>
        <w:ind w:left="620" w:right="40" w:hanging="308"/>
        <w:spacing w:after="0" w:line="286"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business disruptions or other impacts due to political instability, civil disobedience, terrorism, armed hostilities (including the ongoing conflict between Russia and Ukraine), extreme weather conditions, natural disasters, other pandemics or other calamities.</w:t>
      </w:r>
    </w:p>
    <w:p>
      <w:pPr>
        <w:spacing w:after="0" w:line="36"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7A. </w:t>
      </w:r>
      <w:r>
        <w:rPr>
          <w:rFonts w:ascii="Times New Roman" w:cs="Times New Roman" w:eastAsia="Times New Roman" w:hAnsi="Times New Roman"/>
          <w:sz w:val="17"/>
          <w:szCs w:val="17"/>
          <w:b w:val="1"/>
          <w:bCs w:val="1"/>
          <w:i w:val="1"/>
          <w:iCs w:val="1"/>
          <w:color w:val="auto"/>
        </w:rPr>
        <w:t>Quantitative and Qualitative Disclosure About Market Risk</w:t>
      </w:r>
    </w:p>
    <w:p>
      <w:pPr>
        <w:spacing w:after="0" w:line="107"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The information presented in the section entitled "Management’s Discussion and Analysis of Financial Condition and Results of Operations — Market Risk Sensitivity" is incorporated herein by reference.</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9"/>
        </w:trPr>
        <w:tc>
          <w:tcPr>
            <w:tcW w:w="87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 xml:space="preserve">Item 8. </w:t>
            </w:r>
            <w:r>
              <w:rPr>
                <w:rFonts w:ascii="Times New Roman" w:cs="Times New Roman" w:eastAsia="Times New Roman" w:hAnsi="Times New Roman"/>
                <w:sz w:val="17"/>
                <w:szCs w:val="17"/>
                <w:b w:val="1"/>
                <w:bCs w:val="1"/>
                <w:i w:val="1"/>
                <w:iCs w:val="1"/>
                <w:color w:val="auto"/>
              </w:rPr>
              <w:t>Financial Statements and Supplementary Data</w:t>
            </w:r>
          </w:p>
        </w:tc>
        <w:tc>
          <w:tcPr>
            <w:tcW w:w="1100" w:type="dxa"/>
            <w:vAlign w:val="bottom"/>
          </w:tcPr>
          <w:p>
            <w:pPr>
              <w:spacing w:after="0"/>
              <w:rPr>
                <w:sz w:val="19"/>
                <w:szCs w:val="19"/>
                <w:color w:val="auto"/>
              </w:rPr>
            </w:pPr>
          </w:p>
        </w:tc>
      </w:tr>
      <w:tr>
        <w:trPr>
          <w:trHeight w:val="566"/>
        </w:trPr>
        <w:tc>
          <w:tcPr>
            <w:tcW w:w="33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INDEX TO CONSOLIDATED FINANCIAL STATEMENTS</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0"/>
        </w:trPr>
        <w:tc>
          <w:tcPr>
            <w:tcW w:w="87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Consolidated Statements of Earnings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w:t>
            </w:r>
          </w:p>
        </w:tc>
      </w:tr>
      <w:tr>
        <w:trPr>
          <w:trHeight w:val="219"/>
        </w:trPr>
        <w:tc>
          <w:tcPr>
            <w:tcW w:w="87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Consolidated Statements of Comprehensive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w:t>
            </w:r>
          </w:p>
        </w:tc>
      </w:tr>
      <w:tr>
        <w:trPr>
          <w:trHeight w:val="219"/>
        </w:trPr>
        <w:tc>
          <w:tcPr>
            <w:tcW w:w="87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Consolidated Balance Sheets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w:t>
            </w:r>
          </w:p>
        </w:tc>
      </w:tr>
      <w:tr>
        <w:trPr>
          <w:trHeight w:val="219"/>
        </w:trPr>
        <w:tc>
          <w:tcPr>
            <w:tcW w:w="87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Consolidated Statements of Cash Flows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w:t>
            </w:r>
          </w:p>
        </w:tc>
      </w:tr>
      <w:tr>
        <w:trPr>
          <w:trHeight w:val="219"/>
        </w:trPr>
        <w:tc>
          <w:tcPr>
            <w:tcW w:w="87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Consolidated Statements of Equity</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r>
      <w:tr>
        <w:trPr>
          <w:trHeight w:val="219"/>
        </w:trPr>
        <w:tc>
          <w:tcPr>
            <w:tcW w:w="87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1100" w:type="dxa"/>
            <w:vAlign w:val="bottom"/>
          </w:tcPr>
          <w:p>
            <w:pPr>
              <w:spacing w:after="0"/>
              <w:rPr>
                <w:sz w:val="19"/>
                <w:szCs w:val="19"/>
                <w:color w:val="auto"/>
              </w:rPr>
            </w:pP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 Summary of Significant Accounting Policies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2. Recent Accounting Pronouncements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3. Divestitures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4. Accumulated Other Comprehensive Income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5. Goodwill and Intangible Assets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6. Segment Information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7. Restructuring Charges and Cost Savings Initiatives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8. Earnings per Share</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51</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9. Pension and Postretirement Benefits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51</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10. Leases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57</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11. Taxes on Earnings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58</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12. Short-term Borrowings and Long-term Debt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13. Financial Instruments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62</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14. Variable Interest Entity</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15. Fair Value Measurements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16. Shareholders' Equity</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67</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17. Stock-based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67</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18. Commitments and Contingencies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19. Supplemental Financial Statement Data</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w:t>
            </w:r>
          </w:p>
        </w:tc>
      </w:tr>
      <w:tr>
        <w:trPr>
          <w:trHeight w:val="219"/>
        </w:trPr>
        <w:tc>
          <w:tcPr>
            <w:tcW w:w="87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Management’s Report on Internal Control Over Financial Reporting</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74</w:t>
            </w:r>
          </w:p>
        </w:tc>
      </w:tr>
      <w:tr>
        <w:trPr>
          <w:trHeight w:val="223"/>
        </w:trPr>
        <w:tc>
          <w:tcPr>
            <w:tcW w:w="87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Report of Independent Registered Public Accounting Firm</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941" w:right="1440" w:bottom="1440" w:gutter="0" w:footer="0" w:header="0"/>
        </w:sectPr>
      </w:pPr>
    </w:p>
    <w:bookmarkStart w:id="35" w:name="page36"/>
    <w:bookmarkEnd w:id="35"/>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CAMPBELL SOUP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Consolidated Statements of Earnings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(millions,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
        </w:trPr>
        <w:tc>
          <w:tcPr>
            <w:tcW w:w="7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1"/>
        </w:trPr>
        <w:tc>
          <w:tcPr>
            <w:tcW w:w="78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53 weeks</w:t>
            </w:r>
          </w:p>
        </w:tc>
      </w:tr>
      <w:tr>
        <w:trPr>
          <w:trHeight w:val="217"/>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8,562</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8,476</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8,691</w:t>
            </w:r>
          </w:p>
        </w:tc>
      </w:tr>
      <w:tr>
        <w:trPr>
          <w:trHeight w:val="212"/>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Cost of products sold</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5,935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5,692</w:t>
            </w:r>
          </w:p>
        </w:tc>
      </w:tr>
      <w:tr>
        <w:trPr>
          <w:trHeight w:val="219"/>
        </w:trPr>
        <w:tc>
          <w:tcPr>
            <w:tcW w:w="7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Marketing and selling expenses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w:t>
            </w: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Administrative expenses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w:t>
            </w:r>
          </w:p>
        </w:tc>
      </w:tr>
      <w:tr>
        <w:trPr>
          <w:trHeight w:val="219"/>
        </w:trPr>
        <w:tc>
          <w:tcPr>
            <w:tcW w:w="7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expenses / (income)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r>
      <w:tr>
        <w:trPr>
          <w:trHeight w:val="219"/>
        </w:trPr>
        <w:tc>
          <w:tcPr>
            <w:tcW w:w="7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Restructuring charges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2"/>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7,399</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6,931</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7,584</w:t>
            </w:r>
          </w:p>
        </w:tc>
      </w:tr>
      <w:tr>
        <w:trPr>
          <w:trHeight w:val="212"/>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before interest and taxes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1,107</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r>
      <w:tr>
        <w:trPr>
          <w:trHeight w:val="219"/>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before taxes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w:t>
            </w:r>
          </w:p>
        </w:tc>
      </w:tr>
      <w:tr>
        <w:trPr>
          <w:trHeight w:val="219"/>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Taxes on earnings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218</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from continuing operations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r>
      <w:tr>
        <w:trPr>
          <w:trHeight w:val="219"/>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Earnings (loss) from discontinued operations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1,036</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earnings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1,628</w:t>
            </w:r>
          </w:p>
        </w:tc>
      </w:tr>
      <w:tr>
        <w:trPr>
          <w:trHeight w:val="219"/>
        </w:trPr>
        <w:tc>
          <w:tcPr>
            <w:tcW w:w="7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Less: Net earnings (loss) attributable to noncontrolling interests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earnings attributable to Campbell Soup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757</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1,628</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840" w:type="dxa"/>
            <w:vAlign w:val="bottom"/>
          </w:tcPr>
          <w:p>
            <w:pPr>
              <w:ind w:left="20"/>
              <w:spacing w:after="0" w:line="190" w:lineRule="exact"/>
              <w:rPr>
                <w:sz w:val="20"/>
                <w:szCs w:val="20"/>
                <w:color w:val="auto"/>
              </w:rPr>
            </w:pPr>
            <w:r>
              <w:rPr>
                <w:rFonts w:ascii="Times New Roman" w:cs="Times New Roman" w:eastAsia="Times New Roman" w:hAnsi="Times New Roman"/>
                <w:sz w:val="17"/>
                <w:szCs w:val="17"/>
                <w:b w:val="1"/>
                <w:bCs w:val="1"/>
                <w:color w:val="auto"/>
              </w:rPr>
              <w:t>Per Share — Basic</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from continuing operations attributable to Campbell Soup Company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r>
      <w:tr>
        <w:trPr>
          <w:trHeight w:val="219"/>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Earnings (loss) from discontinued operations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w:t>
            </w:r>
          </w:p>
        </w:tc>
      </w:tr>
      <w:tr>
        <w:trPr>
          <w:trHeight w:val="211"/>
        </w:trPr>
        <w:tc>
          <w:tcPr>
            <w:tcW w:w="7840" w:type="dxa"/>
            <w:vAlign w:val="bottom"/>
            <w:tcBorders>
              <w:bottom w:val="single" w:sz="8" w:color="auto"/>
            </w:tcBorders>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Net earnings attributable to Campbell Soup Company</w:t>
            </w:r>
          </w:p>
        </w:tc>
        <w:tc>
          <w:tcPr>
            <w:tcW w:w="1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2.51</w:t>
            </w: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3.31</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5.39</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840" w:type="dxa"/>
            <w:vAlign w:val="bottom"/>
            <w:tcBorders>
              <w:bottom w:val="single" w:sz="8" w:color="auto"/>
            </w:tcBorders>
          </w:tcPr>
          <w:p>
            <w:pPr>
              <w:ind w:left="20"/>
              <w:spacing w:after="0" w:line="190" w:lineRule="exact"/>
              <w:rPr>
                <w:sz w:val="20"/>
                <w:szCs w:val="20"/>
                <w:color w:val="auto"/>
              </w:rPr>
            </w:pPr>
            <w:r>
              <w:rPr>
                <w:rFonts w:ascii="Times New Roman" w:cs="Times New Roman" w:eastAsia="Times New Roman" w:hAnsi="Times New Roman"/>
                <w:sz w:val="17"/>
                <w:szCs w:val="17"/>
                <w:color w:val="auto"/>
              </w:rPr>
              <w:t>Weighted average shares outstanding — basic</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auto"/>
              </w:rPr>
              <w:t>301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303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302</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Per Share — Assuming Dilution</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9"/>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from continuing operations attributable to Campbell Soup Company</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2.51</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219"/>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(loss) from discontinued operations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r>
      <w:tr>
        <w:trPr>
          <w:trHeight w:val="212"/>
        </w:trPr>
        <w:tc>
          <w:tcPr>
            <w:tcW w:w="7840" w:type="dxa"/>
            <w:vAlign w:val="bottom"/>
            <w:tcBorders>
              <w:bottom w:val="single" w:sz="8" w:color="auto"/>
            </w:tcBorders>
          </w:tcPr>
          <w:p>
            <w:pPr>
              <w:ind w:left="20"/>
              <w:spacing w:after="0" w:line="211" w:lineRule="exact"/>
              <w:rPr>
                <w:sz w:val="20"/>
                <w:szCs w:val="20"/>
                <w:color w:val="auto"/>
              </w:rPr>
            </w:pPr>
            <w:r>
              <w:rPr>
                <w:rFonts w:ascii="Times New Roman" w:cs="Times New Roman" w:eastAsia="Times New Roman" w:hAnsi="Times New Roman"/>
                <w:sz w:val="17"/>
                <w:szCs w:val="17"/>
                <w:b w:val="1"/>
                <w:bCs w:val="1"/>
                <w:color w:val="auto"/>
              </w:rPr>
              <w:t>Net earnings attributable to Campbell Soup Company</w:t>
            </w:r>
            <w:r>
              <w:rPr>
                <w:rFonts w:ascii="Times New Roman" w:cs="Times New Roman" w:eastAsia="Times New Roman" w:hAnsi="Times New Roman"/>
                <w:sz w:val="22"/>
                <w:szCs w:val="22"/>
                <w:b w:val="1"/>
                <w:bCs w:val="1"/>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2.51</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5"/>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assuming dilution</w:t>
            </w: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302</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 xml:space="preserve">(1) </w:t>
      </w:r>
      <w:r>
        <w:rPr>
          <w:rFonts w:ascii="Times New Roman" w:cs="Times New Roman" w:eastAsia="Times New Roman" w:hAnsi="Times New Roman"/>
          <w:sz w:val="17"/>
          <w:szCs w:val="17"/>
          <w:color w:val="auto"/>
        </w:rPr>
        <w:t>Sum of the individual amounts may not add due to rounding</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CAMPBELL SOUP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Consolidated Statements of Comprehensive Income</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(millions)</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53 weeks</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Pre-tax</w:t>
            </w:r>
          </w:p>
        </w:tc>
        <w:tc>
          <w:tcPr>
            <w:tcW w:w="94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w w:val="96"/>
              </w:rPr>
              <w:t>Tax benefit</w:t>
            </w:r>
          </w:p>
        </w:tc>
        <w:tc>
          <w:tcPr>
            <w:tcW w:w="120" w:type="dxa"/>
            <w:vAlign w:val="bottom"/>
          </w:tcPr>
          <w:p>
            <w:pPr>
              <w:spacing w:after="0"/>
              <w:rPr>
                <w:sz w:val="11"/>
                <w:szCs w:val="11"/>
                <w:color w:val="auto"/>
              </w:rPr>
            </w:pPr>
          </w:p>
        </w:tc>
        <w:tc>
          <w:tcPr>
            <w:tcW w:w="700" w:type="dxa"/>
            <w:vAlign w:val="bottom"/>
          </w:tcPr>
          <w:p>
            <w:pPr>
              <w:jc w:val="center"/>
              <w:ind w:right="44"/>
              <w:spacing w:after="0" w:line="129"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Pre-tax</w:t>
            </w:r>
          </w:p>
        </w:tc>
        <w:tc>
          <w:tcPr>
            <w:tcW w:w="94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93"/>
              </w:rPr>
              <w:t>Tax benefit</w:t>
            </w:r>
          </w:p>
        </w:tc>
        <w:tc>
          <w:tcPr>
            <w:tcW w:w="120" w:type="dxa"/>
            <w:vAlign w:val="bottom"/>
          </w:tcPr>
          <w:p>
            <w:pPr>
              <w:spacing w:after="0"/>
              <w:rPr>
                <w:sz w:val="11"/>
                <w:szCs w:val="11"/>
                <w:color w:val="auto"/>
              </w:rPr>
            </w:pPr>
          </w:p>
        </w:tc>
        <w:tc>
          <w:tcPr>
            <w:tcW w:w="720" w:type="dxa"/>
            <w:vAlign w:val="bottom"/>
          </w:tcPr>
          <w:p>
            <w:pPr>
              <w:jc w:val="center"/>
              <w:ind w:right="44"/>
              <w:spacing w:after="0" w:line="129" w:lineRule="exact"/>
              <w:rPr>
                <w:sz w:val="20"/>
                <w:szCs w:val="20"/>
                <w:color w:val="auto"/>
              </w:rPr>
            </w:pPr>
            <w:r>
              <w:rPr>
                <w:rFonts w:ascii="Times New Roman" w:cs="Times New Roman" w:eastAsia="Times New Roman" w:hAnsi="Times New Roman"/>
                <w:sz w:val="14"/>
                <w:szCs w:val="14"/>
                <w:b w:val="1"/>
                <w:bCs w:val="1"/>
                <w:color w:val="auto"/>
                <w:w w:val="94"/>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Pre-tax</w:t>
            </w:r>
          </w:p>
        </w:tc>
        <w:tc>
          <w:tcPr>
            <w:tcW w:w="94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w w:val="96"/>
              </w:rPr>
              <w:t>Tax benefit</w:t>
            </w:r>
          </w:p>
        </w:tc>
        <w:tc>
          <w:tcPr>
            <w:tcW w:w="140" w:type="dxa"/>
            <w:vAlign w:val="bottom"/>
          </w:tcPr>
          <w:p>
            <w:pPr>
              <w:spacing w:after="0"/>
              <w:rPr>
                <w:sz w:val="11"/>
                <w:szCs w:val="11"/>
                <w:color w:val="auto"/>
              </w:rPr>
            </w:pPr>
          </w:p>
        </w:tc>
        <w:tc>
          <w:tcPr>
            <w:tcW w:w="720" w:type="dxa"/>
            <w:vAlign w:val="bottom"/>
          </w:tcPr>
          <w:p>
            <w:pPr>
              <w:jc w:val="right"/>
              <w:ind w:right="84"/>
              <w:spacing w:after="0" w:line="129"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0" w:type="dxa"/>
            <w:vAlign w:val="bottom"/>
          </w:tcPr>
          <w:p>
            <w:pPr>
              <w:spacing w:after="0"/>
              <w:rPr>
                <w:sz w:val="1"/>
                <w:szCs w:val="1"/>
                <w:color w:val="auto"/>
              </w:rPr>
            </w:pPr>
          </w:p>
        </w:tc>
      </w:tr>
      <w:tr>
        <w:trPr>
          <w:trHeight w:val="187"/>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(expense)</w:t>
            </w:r>
          </w:p>
        </w:tc>
        <w:tc>
          <w:tcPr>
            <w:tcW w:w="1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amount</w:t>
            </w:r>
          </w:p>
        </w:tc>
        <w:tc>
          <w:tcPr>
            <w:tcW w:w="12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(expense)</w:t>
            </w:r>
          </w:p>
        </w:tc>
        <w:tc>
          <w:tcPr>
            <w:tcW w:w="140" w:type="dxa"/>
            <w:vAlign w:val="bottom"/>
          </w:tcPr>
          <w:p>
            <w:pPr>
              <w:spacing w:after="0"/>
              <w:rPr>
                <w:sz w:val="16"/>
                <w:szCs w:val="16"/>
                <w:color w:val="auto"/>
              </w:rPr>
            </w:pPr>
          </w:p>
        </w:tc>
        <w:tc>
          <w:tcPr>
            <w:tcW w:w="72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4"/>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earnings</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757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1,002</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1,628</w:t>
            </w:r>
          </w:p>
        </w:tc>
        <w:tc>
          <w:tcPr>
            <w:tcW w:w="0" w:type="dxa"/>
            <w:vAlign w:val="bottom"/>
          </w:tcPr>
          <w:p>
            <w:pPr>
              <w:spacing w:after="0"/>
              <w:rPr>
                <w:sz w:val="1"/>
                <w:szCs w:val="1"/>
                <w:color w:val="auto"/>
              </w:rPr>
            </w:pPr>
          </w:p>
        </w:tc>
      </w:tr>
      <w:tr>
        <w:trPr>
          <w:trHeight w:val="205"/>
        </w:trPr>
        <w:tc>
          <w:tcPr>
            <w:tcW w:w="30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Other comprehensive income (loss):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Foreign currency translation: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0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57"/>
        </w:trPr>
        <w:tc>
          <w:tcPr>
            <w:tcW w:w="3040" w:type="dxa"/>
            <w:vAlign w:val="bottom"/>
            <w:shd w:val="clear" w:color="auto" w:fill="CCEEFF"/>
          </w:tcPr>
          <w:p>
            <w:pPr>
              <w:ind w:left="300"/>
              <w:spacing w:after="0" w:line="156" w:lineRule="exact"/>
              <w:rPr>
                <w:sz w:val="20"/>
                <w:szCs w:val="20"/>
                <w:color w:val="auto"/>
              </w:rPr>
            </w:pPr>
            <w:r>
              <w:rPr>
                <w:rFonts w:ascii="Times New Roman" w:cs="Times New Roman" w:eastAsia="Times New Roman" w:hAnsi="Times New Roman"/>
                <w:sz w:val="15"/>
                <w:szCs w:val="15"/>
                <w:color w:val="auto"/>
              </w:rPr>
              <w:t>Reclassification of currency translation</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40" w:type="dxa"/>
            <w:vAlign w:val="bottom"/>
            <w:shd w:val="clear" w:color="auto" w:fill="CCEEFF"/>
          </w:tcPr>
          <w:p>
            <w:pPr>
              <w:ind w:left="300"/>
              <w:spacing w:after="0" w:line="155" w:lineRule="exact"/>
              <w:rPr>
                <w:sz w:val="20"/>
                <w:szCs w:val="20"/>
                <w:color w:val="auto"/>
              </w:rPr>
            </w:pPr>
            <w:r>
              <w:rPr>
                <w:rFonts w:ascii="Times New Roman" w:cs="Times New Roman" w:eastAsia="Times New Roman" w:hAnsi="Times New Roman"/>
                <w:sz w:val="15"/>
                <w:szCs w:val="15"/>
                <w:color w:val="auto"/>
              </w:rPr>
              <w:t>adjustments realized upon disposal of</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w:t>
            </w:r>
          </w:p>
        </w:tc>
        <w:tc>
          <w:tcPr>
            <w:tcW w:w="0" w:type="dxa"/>
            <w:vAlign w:val="bottom"/>
          </w:tcPr>
          <w:p>
            <w:pPr>
              <w:spacing w:after="0"/>
              <w:rPr>
                <w:sz w:val="1"/>
                <w:szCs w:val="1"/>
                <w:color w:val="auto"/>
              </w:rPr>
            </w:pPr>
          </w:p>
        </w:tc>
      </w:tr>
      <w:tr>
        <w:trPr>
          <w:trHeight w:val="205"/>
        </w:trPr>
        <w:tc>
          <w:tcPr>
            <w:tcW w:w="3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business</w:t>
            </w: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04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Cash-flow hedges: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040" w:type="dxa"/>
            <w:vAlign w:val="bottom"/>
            <w:shd w:val="clear" w:color="auto" w:fill="CCEEFF"/>
          </w:tcPr>
          <w:p>
            <w:pPr>
              <w:ind w:left="300"/>
              <w:spacing w:after="0" w:line="156" w:lineRule="exact"/>
              <w:rPr>
                <w:sz w:val="20"/>
                <w:szCs w:val="20"/>
                <w:color w:val="auto"/>
              </w:rPr>
            </w:pPr>
            <w:r>
              <w:rPr>
                <w:rFonts w:ascii="Times New Roman" w:cs="Times New Roman" w:eastAsia="Times New Roman" w:hAnsi="Times New Roman"/>
                <w:sz w:val="15"/>
                <w:szCs w:val="15"/>
                <w:color w:val="auto"/>
              </w:rPr>
              <w:t>Unrealized gains (losses) arising during</w:t>
            </w: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5"/>
                <w:szCs w:val="15"/>
                <w:b w:val="1"/>
                <w:bCs w:val="1"/>
                <w:color w:val="auto"/>
              </w:rPr>
              <w:t>17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5"/>
        </w:trPr>
        <w:tc>
          <w:tcPr>
            <w:tcW w:w="3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period</w:t>
            </w: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040" w:type="dxa"/>
            <w:vAlign w:val="bottom"/>
          </w:tcPr>
          <w:p>
            <w:pPr>
              <w:ind w:left="300"/>
              <w:spacing w:after="0" w:line="156" w:lineRule="exact"/>
              <w:rPr>
                <w:sz w:val="20"/>
                <w:szCs w:val="20"/>
                <w:color w:val="auto"/>
              </w:rPr>
            </w:pPr>
            <w:r>
              <w:rPr>
                <w:rFonts w:ascii="Times New Roman" w:cs="Times New Roman" w:eastAsia="Times New Roman" w:hAnsi="Times New Roman"/>
                <w:sz w:val="15"/>
                <w:szCs w:val="15"/>
                <w:color w:val="auto"/>
              </w:rPr>
              <w:t>Reclassification adjustment for losses</w:t>
            </w: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(12)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(10)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30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(gains) included in net earnings</w:t>
            </w:r>
          </w:p>
        </w:tc>
        <w:tc>
          <w:tcPr>
            <w:tcW w:w="1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Pension and other postretirement benefits: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040" w:type="dxa"/>
            <w:vAlign w:val="bottom"/>
          </w:tcPr>
          <w:p>
            <w:pPr>
              <w:ind w:left="300"/>
              <w:spacing w:after="0" w:line="156" w:lineRule="exact"/>
              <w:rPr>
                <w:sz w:val="20"/>
                <w:szCs w:val="20"/>
                <w:color w:val="auto"/>
              </w:rPr>
            </w:pPr>
            <w:r>
              <w:rPr>
                <w:rFonts w:ascii="Times New Roman" w:cs="Times New Roman" w:eastAsia="Times New Roman" w:hAnsi="Times New Roman"/>
                <w:sz w:val="15"/>
                <w:szCs w:val="15"/>
                <w:color w:val="auto"/>
              </w:rPr>
              <w:t>Reclassification of prior service credit</w:t>
            </w: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202"/>
        </w:trPr>
        <w:tc>
          <w:tcPr>
            <w:tcW w:w="30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included in net earnings</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comprehensive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0" w:type="dxa"/>
            <w:vAlign w:val="bottom"/>
          </w:tcPr>
          <w:p>
            <w:pPr>
              <w:spacing w:after="0"/>
              <w:rPr>
                <w:sz w:val="1"/>
                <w:szCs w:val="1"/>
                <w:color w:val="auto"/>
              </w:rPr>
            </w:pPr>
          </w:p>
        </w:tc>
      </w:tr>
      <w:tr>
        <w:trPr>
          <w:trHeight w:val="199"/>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comprehensive income (loss)</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754</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1,013</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1,817</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Total comprehensive income (loss) attributable</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2"/>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 noncontrolling interests</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040" w:type="dxa"/>
            <w:vAlign w:val="bottom"/>
          </w:tcPr>
          <w:p>
            <w:pPr>
              <w:ind w:left="20"/>
              <w:spacing w:after="0" w:line="150" w:lineRule="exact"/>
              <w:rPr>
                <w:sz w:val="20"/>
                <w:szCs w:val="20"/>
                <w:color w:val="auto"/>
              </w:rPr>
            </w:pPr>
            <w:r>
              <w:rPr>
                <w:rFonts w:ascii="Times New Roman" w:cs="Times New Roman" w:eastAsia="Times New Roman" w:hAnsi="Times New Roman"/>
                <w:sz w:val="15"/>
                <w:szCs w:val="15"/>
                <w:b w:val="1"/>
                <w:bCs w:val="1"/>
                <w:color w:val="auto"/>
              </w:rPr>
              <w:t>Total comprehensive income (loss)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754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1,017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1,816</w:t>
            </w:r>
          </w:p>
        </w:tc>
        <w:tc>
          <w:tcPr>
            <w:tcW w:w="0" w:type="dxa"/>
            <w:vAlign w:val="bottom"/>
          </w:tcPr>
          <w:p>
            <w:pPr>
              <w:spacing w:after="0"/>
              <w:rPr>
                <w:sz w:val="1"/>
                <w:szCs w:val="1"/>
                <w:color w:val="auto"/>
              </w:rPr>
            </w:pPr>
          </w:p>
        </w:tc>
      </w:tr>
      <w:tr>
        <w:trPr>
          <w:trHeight w:val="205"/>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attributable to Campbell Soup Company</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accompanying Notes to Consolidated Financial Statements.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7"/>
          <w:szCs w:val="17"/>
          <w:b w:val="1"/>
          <w:bCs w:val="1"/>
          <w:color w:val="auto"/>
        </w:rPr>
        <w:t>CAMPBELL SOUP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(millions, except per share amounts)</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1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300" w:type="dxa"/>
            <w:vAlign w:val="bottom"/>
          </w:tcPr>
          <w:p>
            <w:pPr>
              <w:spacing w:after="0"/>
              <w:rPr>
                <w:sz w:val="13"/>
                <w:szCs w:val="13"/>
                <w:color w:val="auto"/>
              </w:rPr>
            </w:pPr>
          </w:p>
        </w:tc>
        <w:tc>
          <w:tcPr>
            <w:tcW w:w="10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August 1,</w:t>
            </w:r>
          </w:p>
        </w:tc>
      </w:tr>
      <w:tr>
        <w:trPr>
          <w:trHeight w:val="187"/>
        </w:trPr>
        <w:tc>
          <w:tcPr>
            <w:tcW w:w="68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7"/>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9"/>
        </w:trPr>
        <w:tc>
          <w:tcPr>
            <w:tcW w:w="6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92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109</w:t>
            </w: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1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receivable, net</w:t>
            </w:r>
          </w:p>
        </w:tc>
        <w:tc>
          <w:tcPr>
            <w:tcW w:w="19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541</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r>
      <w:tr>
        <w:trPr>
          <w:trHeight w:val="219"/>
        </w:trPr>
        <w:tc>
          <w:tcPr>
            <w:tcW w:w="6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Inventories</w:t>
            </w:r>
          </w:p>
        </w:tc>
        <w:tc>
          <w:tcPr>
            <w:tcW w:w="192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1,246</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w:t>
            </w:r>
          </w:p>
        </w:tc>
      </w:tr>
      <w:tr>
        <w:trPr>
          <w:trHeight w:val="219"/>
        </w:trPr>
        <w:tc>
          <w:tcPr>
            <w:tcW w:w="6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current assets</w:t>
            </w:r>
          </w:p>
        </w:tc>
        <w:tc>
          <w:tcPr>
            <w:tcW w:w="19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67</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12"/>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9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1,963</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1,695</w:t>
            </w:r>
          </w:p>
        </w:tc>
      </w:tr>
      <w:tr>
        <w:trPr>
          <w:trHeight w:val="21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Plant assets, net of depreciation</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2,343</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2,370</w:t>
            </w: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92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3,979</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3,981</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intangible assets, net of amortization</w:t>
            </w:r>
          </w:p>
        </w:tc>
        <w:tc>
          <w:tcPr>
            <w:tcW w:w="19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3,198</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3,239</w:t>
            </w:r>
          </w:p>
        </w:tc>
      </w:tr>
      <w:tr>
        <w:trPr>
          <w:trHeight w:val="219"/>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9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409</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w:t>
            </w:r>
          </w:p>
        </w:tc>
      </w:tr>
      <w:tr>
        <w:trPr>
          <w:trHeight w:val="237"/>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9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11,892</w:t>
            </w:r>
          </w:p>
        </w:tc>
        <w:tc>
          <w:tcPr>
            <w:tcW w:w="3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11,734</w:t>
            </w:r>
          </w:p>
        </w:tc>
      </w:tr>
      <w:tr>
        <w:trPr>
          <w:trHeight w:val="20"/>
        </w:trPr>
        <w:tc>
          <w:tcPr>
            <w:tcW w:w="68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820" w:type="dxa"/>
            <w:vAlign w:val="bottom"/>
          </w:tcPr>
          <w:p>
            <w:pPr>
              <w:ind w:left="20"/>
              <w:spacing w:after="0" w:line="190" w:lineRule="exact"/>
              <w:rPr>
                <w:sz w:val="20"/>
                <w:szCs w:val="20"/>
                <w:color w:val="auto"/>
              </w:rPr>
            </w:pPr>
            <w:r>
              <w:rPr>
                <w:rFonts w:ascii="Times New Roman" w:cs="Times New Roman" w:eastAsia="Times New Roman" w:hAnsi="Times New Roman"/>
                <w:sz w:val="17"/>
                <w:szCs w:val="17"/>
                <w:b w:val="1"/>
                <w:bCs w:val="1"/>
                <w:color w:val="auto"/>
              </w:rPr>
              <w:t>Current liabilities</w:t>
            </w:r>
          </w:p>
        </w:tc>
        <w:tc>
          <w:tcPr>
            <w:tcW w:w="1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Short-term borrowings</w:t>
            </w:r>
          </w:p>
        </w:tc>
        <w:tc>
          <w:tcPr>
            <w:tcW w:w="1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814</w:t>
            </w:r>
          </w:p>
        </w:tc>
        <w:tc>
          <w:tcPr>
            <w:tcW w:w="3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9"/>
        </w:trPr>
        <w:tc>
          <w:tcPr>
            <w:tcW w:w="6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Payable to suppliers and others</w:t>
            </w:r>
          </w:p>
        </w:tc>
        <w:tc>
          <w:tcPr>
            <w:tcW w:w="192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1,334</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1,070</w:t>
            </w:r>
          </w:p>
        </w:tc>
      </w:tr>
      <w:tr>
        <w:trPr>
          <w:trHeight w:val="21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liabilities</w:t>
            </w:r>
          </w:p>
        </w:tc>
        <w:tc>
          <w:tcPr>
            <w:tcW w:w="19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621</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r>
      <w:tr>
        <w:trPr>
          <w:trHeight w:val="219"/>
        </w:trPr>
        <w:tc>
          <w:tcPr>
            <w:tcW w:w="6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Dividends payable</w:t>
            </w:r>
          </w:p>
        </w:tc>
        <w:tc>
          <w:tcPr>
            <w:tcW w:w="192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114</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19"/>
        </w:trPr>
        <w:tc>
          <w:tcPr>
            <w:tcW w:w="6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income taxes</w:t>
            </w:r>
          </w:p>
        </w:tc>
        <w:tc>
          <w:tcPr>
            <w:tcW w:w="19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2"/>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9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2,886</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1,814</w:t>
            </w:r>
          </w:p>
        </w:tc>
      </w:tr>
      <w:tr>
        <w:trPr>
          <w:trHeight w:val="21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3,996</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5,010</w:t>
            </w: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taxes</w:t>
            </w:r>
          </w:p>
        </w:tc>
        <w:tc>
          <w:tcPr>
            <w:tcW w:w="192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1,074</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1,051</w:t>
            </w:r>
          </w:p>
        </w:tc>
      </w:tr>
      <w:tr>
        <w:trPr>
          <w:trHeight w:val="219"/>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19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603</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w:t>
            </w:r>
          </w:p>
        </w:tc>
      </w:tr>
      <w:tr>
        <w:trPr>
          <w:trHeight w:val="212"/>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9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8,559</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8,580</w:t>
            </w:r>
          </w:p>
        </w:tc>
      </w:tr>
      <w:tr>
        <w:trPr>
          <w:trHeight w:val="21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Campbell Soup Company shareholders' equity</w:t>
            </w:r>
          </w:p>
        </w:tc>
        <w:tc>
          <w:tcPr>
            <w:tcW w:w="1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Preferred stock; authorized 40 shares; none issued</w:t>
            </w:r>
          </w:p>
        </w:tc>
        <w:tc>
          <w:tcPr>
            <w:tcW w:w="19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stock, $.0375 par value; authorized 560 shares; issued 323 shares</w:t>
            </w:r>
          </w:p>
        </w:tc>
        <w:tc>
          <w:tcPr>
            <w:tcW w:w="192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12</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9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415</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r>
      <w:tr>
        <w:trPr>
          <w:trHeight w:val="219"/>
        </w:trPr>
        <w:tc>
          <w:tcPr>
            <w:tcW w:w="6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Earnings retained in the business</w:t>
            </w:r>
          </w:p>
        </w:tc>
        <w:tc>
          <w:tcPr>
            <w:tcW w:w="192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4,040</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3,742</w:t>
            </w:r>
          </w:p>
        </w:tc>
      </w:tr>
      <w:tr>
        <w:trPr>
          <w:trHeight w:val="21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Capital stock in treasury, at cost</w:t>
            </w:r>
          </w:p>
        </w:tc>
        <w:tc>
          <w:tcPr>
            <w:tcW w:w="19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(1,138)</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w:t>
            </w:r>
          </w:p>
        </w:tc>
      </w:tr>
      <w:tr>
        <w:trPr>
          <w:trHeight w:val="219"/>
        </w:trPr>
        <w:tc>
          <w:tcPr>
            <w:tcW w:w="6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19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2"/>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Campbell Soup Company shareholders' equity</w:t>
            </w:r>
          </w:p>
        </w:tc>
        <w:tc>
          <w:tcPr>
            <w:tcW w:w="19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3,331</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3,152</w:t>
            </w:r>
          </w:p>
        </w:tc>
      </w:tr>
      <w:tr>
        <w:trPr>
          <w:trHeight w:val="212"/>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9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19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3,333</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3,154</w:t>
            </w:r>
          </w:p>
        </w:tc>
      </w:tr>
      <w:tr>
        <w:trPr>
          <w:trHeight w:val="212"/>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19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11,892</w:t>
            </w:r>
          </w:p>
        </w:tc>
        <w:tc>
          <w:tcPr>
            <w:tcW w:w="3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11,734</w:t>
            </w: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7"/>
          <w:szCs w:val="17"/>
          <w:b w:val="1"/>
          <w:bCs w:val="1"/>
          <w:color w:val="auto"/>
        </w:rPr>
        <w:t>CAMPBELL SOUP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(millions)</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
        </w:trPr>
        <w:tc>
          <w:tcPr>
            <w:tcW w:w="7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1"/>
        </w:trPr>
        <w:tc>
          <w:tcPr>
            <w:tcW w:w="77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53 weeks</w:t>
            </w:r>
          </w:p>
        </w:tc>
      </w:tr>
      <w:tr>
        <w:trPr>
          <w:trHeight w:val="17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8"/>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earnings</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757</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12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1,628</w:t>
            </w:r>
          </w:p>
        </w:tc>
      </w:tr>
      <w:tr>
        <w:trPr>
          <w:trHeight w:val="19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earnings to operating cash flow</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88"/>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Restructuring charges</w:t>
            </w:r>
          </w:p>
        </w:tc>
        <w:tc>
          <w:tcPr>
            <w:tcW w:w="1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w:t>
            </w:r>
          </w:p>
        </w:tc>
      </w:tr>
      <w:tr>
        <w:trPr>
          <w:trHeight w:val="199"/>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61</w:t>
            </w:r>
          </w:p>
        </w:tc>
      </w:tr>
      <w:tr>
        <w:trPr>
          <w:trHeight w:val="188"/>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Pension and postretirement benefit expense (income)</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93</w:t>
            </w:r>
          </w:p>
        </w:tc>
      </w:tr>
      <w:tr>
        <w:trPr>
          <w:trHeight w:val="199"/>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337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328</w:t>
            </w:r>
          </w:p>
        </w:tc>
      </w:tr>
      <w:tr>
        <w:trPr>
          <w:trHeight w:val="188"/>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Deferred income taxes</w:t>
            </w:r>
          </w:p>
        </w:tc>
        <w:tc>
          <w:tcPr>
            <w:tcW w:w="1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9"/>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loss (gain) on sales of businesses</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r>
      <w:tr>
        <w:trPr>
          <w:trHeight w:val="188"/>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75</w:t>
            </w:r>
          </w:p>
        </w:tc>
      </w:tr>
      <w:tr>
        <w:trPr>
          <w:trHeight w:val="199"/>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Investment losses</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49</w:t>
            </w:r>
          </w:p>
        </w:tc>
      </w:tr>
      <w:tr>
        <w:trPr>
          <w:trHeight w:val="188"/>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101</w:t>
            </w:r>
          </w:p>
        </w:tc>
      </w:tr>
      <w:tr>
        <w:trPr>
          <w:trHeight w:val="19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working capital, net of divestitures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88"/>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99"/>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Inventories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8"/>
        </w:trPr>
        <w:tc>
          <w:tcPr>
            <w:tcW w:w="7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 current assets</w:t>
            </w:r>
          </w:p>
        </w:tc>
        <w:tc>
          <w:tcPr>
            <w:tcW w:w="1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9"/>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145</w:t>
            </w:r>
          </w:p>
        </w:tc>
      </w:tr>
      <w:tr>
        <w:trPr>
          <w:trHeight w:val="188"/>
        </w:trPr>
        <w:tc>
          <w:tcPr>
            <w:tcW w:w="7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86"/>
        </w:trPr>
        <w:tc>
          <w:tcPr>
            <w:tcW w:w="77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1,181</w:t>
            </w: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1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1,396</w:t>
            </w:r>
          </w:p>
        </w:tc>
      </w:tr>
      <w:tr>
        <w:trPr>
          <w:trHeight w:val="18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plant assets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r>
      <w:tr>
        <w:trPr>
          <w:trHeight w:val="188"/>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route businesses</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of route businesses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w:t>
            </w:r>
          </w:p>
        </w:tc>
      </w:tr>
      <w:tr>
        <w:trPr>
          <w:trHeight w:val="188"/>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 of businesses, net of cash divested</w:t>
            </w:r>
          </w:p>
        </w:tc>
        <w:tc>
          <w:tcPr>
            <w:tcW w:w="18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2,537</w:t>
            </w:r>
          </w:p>
        </w:tc>
      </w:tr>
      <w:tr>
        <w:trPr>
          <w:trHeight w:val="19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investment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30</w:t>
            </w:r>
          </w:p>
        </w:tc>
      </w:tr>
      <w:tr>
        <w:trPr>
          <w:trHeight w:val="188"/>
        </w:trPr>
        <w:tc>
          <w:tcPr>
            <w:tcW w:w="7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w:t>
            </w:r>
          </w:p>
        </w:tc>
      </w:tr>
      <w:tr>
        <w:trPr>
          <w:trHeight w:val="186"/>
        </w:trPr>
        <w:tc>
          <w:tcPr>
            <w:tcW w:w="77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(230)</w:t>
            </w: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2,272</w:t>
            </w:r>
          </w:p>
        </w:tc>
      </w:tr>
      <w:tr>
        <w:trPr>
          <w:trHeight w:val="18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Short-term borrowings, including commercial paper and revolving line of credit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1,173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5,617</w:t>
            </w:r>
          </w:p>
        </w:tc>
      </w:tr>
      <w:tr>
        <w:trPr>
          <w:trHeight w:val="188"/>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Short-term repayments, including commercial paper and revolving line of credit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(6,909)</w:t>
            </w:r>
          </w:p>
        </w:tc>
      </w:tr>
      <w:tr>
        <w:trPr>
          <w:trHeight w:val="19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borrowings</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1,000</w:t>
            </w:r>
          </w:p>
        </w:tc>
      </w:tr>
      <w:tr>
        <w:trPr>
          <w:trHeight w:val="188"/>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repayments</w:t>
            </w:r>
          </w:p>
        </w:tc>
        <w:tc>
          <w:tcPr>
            <w:tcW w:w="18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r>
      <w:tr>
        <w:trPr>
          <w:trHeight w:val="19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paid</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r>
      <w:tr>
        <w:trPr>
          <w:trHeight w:val="188"/>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Treasury stock purchases</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Treasury stock issuances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23</w:t>
            </w:r>
          </w:p>
        </w:tc>
      </w:tr>
      <w:tr>
        <w:trPr>
          <w:trHeight w:val="188"/>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related to tax withholding for stock-based compensation</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related to extinguishment of debt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r>
      <w:tr>
        <w:trPr>
          <w:trHeight w:val="188"/>
        </w:trPr>
        <w:tc>
          <w:tcPr>
            <w:tcW w:w="7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6"/>
        </w:trPr>
        <w:tc>
          <w:tcPr>
            <w:tcW w:w="77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(910)</w:t>
            </w: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w:t>
            </w:r>
          </w:p>
        </w:tc>
      </w:tr>
      <w:tr>
        <w:trPr>
          <w:trHeight w:val="186"/>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exchange rate changes on cash</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680</w:t>
            </w:r>
          </w:p>
        </w:tc>
      </w:tr>
      <w:tr>
        <w:trPr>
          <w:trHeight w:val="188"/>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 beginning of period (including discontinued operations)</w:t>
            </w:r>
          </w:p>
        </w:tc>
        <w:tc>
          <w:tcPr>
            <w:tcW w:w="1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179</w:t>
            </w:r>
          </w:p>
        </w:tc>
      </w:tr>
      <w:tr>
        <w:trPr>
          <w:trHeight w:val="193"/>
        </w:trPr>
        <w:tc>
          <w:tcPr>
            <w:tcW w:w="7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Less cash and cash equivalents discontinued operations - end of period</w:t>
            </w:r>
          </w:p>
        </w:tc>
        <w:tc>
          <w:tcPr>
            <w:tcW w:w="1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 end of period</w:t>
            </w: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109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859</w:t>
            </w:r>
          </w:p>
        </w:tc>
      </w:tr>
      <w:tr>
        <w:trPr>
          <w:trHeight w:val="24"/>
        </w:trPr>
        <w:tc>
          <w:tcPr>
            <w:tcW w:w="7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CAMPBELL SOUP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Consolidated Statements of Equity</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(millions, except per share amounts)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Campbell Soup Company Shareholders’ Equity</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2260" w:type="dxa"/>
            <w:vAlign w:val="bottom"/>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gridSpan w:val="3"/>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60" w:type="dxa"/>
            <w:vAlign w:val="bottom"/>
          </w:tcPr>
          <w:p>
            <w:pPr>
              <w:spacing w:after="0"/>
              <w:rPr>
                <w:sz w:val="17"/>
                <w:szCs w:val="17"/>
                <w:color w:val="auto"/>
              </w:rPr>
            </w:pPr>
          </w:p>
        </w:tc>
        <w:tc>
          <w:tcPr>
            <w:tcW w:w="1560" w:type="dxa"/>
            <w:vAlign w:val="bottom"/>
            <w:tcBorders>
              <w:bottom w:val="single" w:sz="8" w:color="auto"/>
            </w:tcBorders>
            <w:gridSpan w:val="3"/>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00" w:type="dxa"/>
            <w:vAlign w:val="bottom"/>
          </w:tcPr>
          <w:p>
            <w:pPr>
              <w:spacing w:after="0"/>
              <w:rPr>
                <w:sz w:val="17"/>
                <w:szCs w:val="17"/>
                <w:color w:val="auto"/>
              </w:rPr>
            </w:pPr>
          </w:p>
        </w:tc>
        <w:tc>
          <w:tcPr>
            <w:tcW w:w="1560" w:type="dxa"/>
            <w:vAlign w:val="bottom"/>
            <w:tcBorders>
              <w:bottom w:val="single" w:sz="8" w:color="auto"/>
            </w:tcBorders>
            <w:gridSpan w:val="3"/>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200" w:type="dxa"/>
            <w:vAlign w:val="bottom"/>
          </w:tcPr>
          <w:p>
            <w:pPr>
              <w:spacing w:after="0"/>
              <w:rPr>
                <w:sz w:val="17"/>
                <w:szCs w:val="17"/>
                <w:color w:val="auto"/>
              </w:rPr>
            </w:pPr>
          </w:p>
        </w:tc>
        <w:tc>
          <w:tcPr>
            <w:tcW w:w="8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7"/>
                <w:szCs w:val="17"/>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7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6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2"/>
                <w:szCs w:val="12"/>
                <w:color w:val="auto"/>
              </w:rPr>
            </w:pPr>
          </w:p>
        </w:tc>
        <w:tc>
          <w:tcPr>
            <w:tcW w:w="840" w:type="dxa"/>
            <w:vAlign w:val="bottom"/>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Retained in the</w:t>
            </w:r>
          </w:p>
        </w:tc>
        <w:tc>
          <w:tcPr>
            <w:tcW w:w="180" w:type="dxa"/>
            <w:vAlign w:val="bottom"/>
          </w:tcPr>
          <w:p>
            <w:pPr>
              <w:spacing w:after="0"/>
              <w:rPr>
                <w:sz w:val="12"/>
                <w:szCs w:val="12"/>
                <w:color w:val="auto"/>
              </w:rPr>
            </w:pPr>
          </w:p>
        </w:tc>
        <w:tc>
          <w:tcPr>
            <w:tcW w:w="1160" w:type="dxa"/>
            <w:vAlign w:val="bottom"/>
          </w:tcPr>
          <w:p>
            <w:pPr>
              <w:jc w:val="center"/>
              <w:ind w:right="51"/>
              <w:spacing w:after="0" w:line="142"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20" w:type="dxa"/>
            <w:vAlign w:val="bottom"/>
          </w:tcPr>
          <w:p>
            <w:pPr>
              <w:spacing w:after="0"/>
              <w:rPr>
                <w:sz w:val="12"/>
                <w:szCs w:val="12"/>
                <w:color w:val="auto"/>
              </w:rPr>
            </w:pPr>
          </w:p>
        </w:tc>
        <w:tc>
          <w:tcPr>
            <w:tcW w:w="112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200" w:type="dxa"/>
            <w:vAlign w:val="bottom"/>
          </w:tcPr>
          <w:p>
            <w:pPr>
              <w:spacing w:after="0"/>
              <w:rPr>
                <w:sz w:val="12"/>
                <w:szCs w:val="12"/>
                <w:color w:val="auto"/>
              </w:rPr>
            </w:pPr>
          </w:p>
        </w:tc>
        <w:tc>
          <w:tcPr>
            <w:tcW w:w="720" w:type="dxa"/>
            <w:vAlign w:val="bottom"/>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28, 2019</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372</w:t>
            </w:r>
          </w:p>
        </w:tc>
        <w:tc>
          <w:tcPr>
            <w:tcW w:w="2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1,993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1,628</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0" w:type="dxa"/>
            <w:vAlign w:val="bottom"/>
          </w:tcPr>
          <w:p>
            <w:pPr>
              <w:spacing w:after="0"/>
              <w:rPr>
                <w:sz w:val="1"/>
                <w:szCs w:val="1"/>
                <w:color w:val="auto"/>
              </w:rPr>
            </w:pPr>
          </w:p>
        </w:tc>
      </w:tr>
      <w:tr>
        <w:trPr>
          <w:trHeight w:val="201"/>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Divestiture</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6"/>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22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201"/>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($1.40 per share)</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(428)</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186"/>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2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Treasury stock issued under</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26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4"/>
                <w:szCs w:val="14"/>
                <w:color w:val="auto"/>
                <w:w w:val="99"/>
              </w:rPr>
              <w:t>management incentive and stock option</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53</w:t>
            </w:r>
          </w:p>
        </w:tc>
        <w:tc>
          <w:tcPr>
            <w:tcW w:w="2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22</w:t>
            </w:r>
          </w:p>
        </w:tc>
        <w:tc>
          <w:tcPr>
            <w:tcW w:w="2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1"/>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7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vMerge w:val="continue"/>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vMerge w:val="continue"/>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at August 2, 2020</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323</w:t>
            </w: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394</w:t>
            </w: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3,190</w:t>
            </w:r>
          </w:p>
        </w:tc>
        <w:tc>
          <w:tcPr>
            <w:tcW w:w="1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2,569</w:t>
            </w:r>
          </w:p>
        </w:tc>
        <w:tc>
          <w:tcPr>
            <w:tcW w:w="0" w:type="dxa"/>
            <w:vAlign w:val="bottom"/>
          </w:tcPr>
          <w:p>
            <w:pPr>
              <w:spacing w:after="0"/>
              <w:rPr>
                <w:sz w:val="1"/>
                <w:szCs w:val="1"/>
                <w:color w:val="auto"/>
              </w:rPr>
            </w:pPr>
          </w:p>
        </w:tc>
      </w:tr>
      <w:tr>
        <w:trPr>
          <w:trHeight w:val="20"/>
        </w:trPr>
        <w:tc>
          <w:tcPr>
            <w:tcW w:w="2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1,002</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0" w:type="dxa"/>
            <w:vAlign w:val="bottom"/>
          </w:tcPr>
          <w:p>
            <w:pPr>
              <w:spacing w:after="0"/>
              <w:rPr>
                <w:sz w:val="1"/>
                <w:szCs w:val="1"/>
                <w:color w:val="auto"/>
              </w:rPr>
            </w:pPr>
          </w:p>
        </w:tc>
      </w:tr>
      <w:tr>
        <w:trPr>
          <w:trHeight w:val="186"/>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1"/>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($1.46 per share)</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(444)</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186"/>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36"/>
        </w:trPr>
        <w:tc>
          <w:tcPr>
            <w:tcW w:w="22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Treasury stock issued under</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26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4"/>
                <w:szCs w:val="14"/>
                <w:color w:val="auto"/>
                <w:w w:val="99"/>
              </w:rPr>
              <w:t>management incentive and stock option</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38</w:t>
            </w:r>
          </w:p>
        </w:tc>
        <w:tc>
          <w:tcPr>
            <w:tcW w:w="2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01"/>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7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vMerge w:val="continue"/>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vMerge w:val="continue"/>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at August 1, 2021</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323</w:t>
            </w: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414</w:t>
            </w: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3,742</w:t>
            </w:r>
          </w:p>
        </w:tc>
        <w:tc>
          <w:tcPr>
            <w:tcW w:w="1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3,154</w:t>
            </w:r>
          </w:p>
        </w:tc>
        <w:tc>
          <w:tcPr>
            <w:tcW w:w="0" w:type="dxa"/>
            <w:vAlign w:val="bottom"/>
          </w:tcPr>
          <w:p>
            <w:pPr>
              <w:spacing w:after="0"/>
              <w:rPr>
                <w:sz w:val="1"/>
                <w:szCs w:val="1"/>
                <w:color w:val="auto"/>
              </w:rPr>
            </w:pPr>
          </w:p>
        </w:tc>
      </w:tr>
      <w:tr>
        <w:trPr>
          <w:trHeight w:val="20"/>
        </w:trPr>
        <w:tc>
          <w:tcPr>
            <w:tcW w:w="2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757</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757</w:t>
            </w:r>
          </w:p>
        </w:tc>
        <w:tc>
          <w:tcPr>
            <w:tcW w:w="0" w:type="dxa"/>
            <w:vAlign w:val="bottom"/>
          </w:tcPr>
          <w:p>
            <w:pPr>
              <w:spacing w:after="0"/>
              <w:rPr>
                <w:sz w:val="1"/>
                <w:szCs w:val="1"/>
                <w:color w:val="auto"/>
              </w:rPr>
            </w:pPr>
          </w:p>
        </w:tc>
      </w:tr>
      <w:tr>
        <w:trPr>
          <w:trHeight w:val="188"/>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22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19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($1.48 per share)</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(451)</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(451)</w:t>
            </w:r>
          </w:p>
        </w:tc>
        <w:tc>
          <w:tcPr>
            <w:tcW w:w="0" w:type="dxa"/>
            <w:vAlign w:val="bottom"/>
          </w:tcPr>
          <w:p>
            <w:pPr>
              <w:spacing w:after="0"/>
              <w:rPr>
                <w:sz w:val="1"/>
                <w:szCs w:val="1"/>
                <w:color w:val="auto"/>
              </w:rPr>
            </w:pPr>
          </w:p>
        </w:tc>
      </w:tr>
      <w:tr>
        <w:trPr>
          <w:trHeight w:val="188"/>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(4)</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(167)</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(167)</w:t>
            </w:r>
          </w:p>
        </w:tc>
        <w:tc>
          <w:tcPr>
            <w:tcW w:w="0" w:type="dxa"/>
            <w:vAlign w:val="bottom"/>
          </w:tcPr>
          <w:p>
            <w:pPr>
              <w:spacing w:after="0"/>
              <w:rPr>
                <w:sz w:val="1"/>
                <w:szCs w:val="1"/>
                <w:color w:val="auto"/>
              </w:rPr>
            </w:pPr>
          </w:p>
        </w:tc>
      </w:tr>
      <w:tr>
        <w:trPr>
          <w:trHeight w:val="134"/>
        </w:trPr>
        <w:tc>
          <w:tcPr>
            <w:tcW w:w="22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 issued under</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26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4"/>
                <w:szCs w:val="14"/>
                <w:b w:val="1"/>
                <w:bCs w:val="1"/>
                <w:color w:val="auto"/>
              </w:rPr>
              <w:t>management incentive and stock</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50</w:t>
            </w:r>
          </w:p>
        </w:tc>
        <w:tc>
          <w:tcPr>
            <w:tcW w:w="2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(8)</w:t>
            </w: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w:t>
            </w:r>
          </w:p>
        </w:tc>
        <w:tc>
          <w:tcPr>
            <w:tcW w:w="0" w:type="dxa"/>
            <w:vAlign w:val="bottom"/>
          </w:tcPr>
          <w:p>
            <w:pPr>
              <w:spacing w:after="0"/>
              <w:rPr>
                <w:sz w:val="1"/>
                <w:szCs w:val="1"/>
                <w:color w:val="auto"/>
              </w:rPr>
            </w:pPr>
          </w:p>
        </w:tc>
      </w:tr>
      <w:tr>
        <w:trPr>
          <w:trHeight w:val="205"/>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option plans</w:t>
            </w:r>
          </w:p>
        </w:tc>
        <w:tc>
          <w:tcPr>
            <w:tcW w:w="7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vMerge w:val="continue"/>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vMerge w:val="continue"/>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July 31, 2022</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323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(1,138)</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415</w:t>
            </w:r>
          </w:p>
        </w:tc>
        <w:tc>
          <w:tcPr>
            <w:tcW w:w="2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4,040</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3,333</w:t>
            </w:r>
          </w:p>
        </w:tc>
        <w:tc>
          <w:tcPr>
            <w:tcW w:w="0" w:type="dxa"/>
            <w:vAlign w:val="bottom"/>
          </w:tcPr>
          <w:p>
            <w:pPr>
              <w:spacing w:after="0"/>
              <w:rPr>
                <w:sz w:val="1"/>
                <w:szCs w:val="1"/>
                <w:color w:val="auto"/>
              </w:rPr>
            </w:pPr>
          </w:p>
        </w:tc>
      </w:tr>
      <w:tr>
        <w:trPr>
          <w:trHeight w:val="24"/>
        </w:trPr>
        <w:tc>
          <w:tcPr>
            <w:tcW w:w="2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27" w:right="35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Significant Accounting Policies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this Report, unless otherwise stated, the terms "we," "us," "our" and the "company" refer to Campbell Soup Company and its consolidated subsidiaries.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a manufacturer and marketer of high-quality, branded food and beverage products.</w:t>
      </w:r>
    </w:p>
    <w:p>
      <w:pPr>
        <w:spacing w:after="0" w:line="84" w:lineRule="exact"/>
        <w:rPr>
          <w:sz w:val="20"/>
          <w:szCs w:val="20"/>
          <w:color w:val="auto"/>
        </w:rPr>
      </w:pPr>
    </w:p>
    <w:p>
      <w:pPr>
        <w:jc w:val="both"/>
        <w:ind w:firstLine="30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Basis of Presentation </w:t>
      </w:r>
      <w:r>
        <w:rPr>
          <w:rFonts w:ascii="Times New Roman" w:cs="Times New Roman" w:eastAsia="Times New Roman" w:hAnsi="Times New Roman"/>
          <w:sz w:val="17"/>
          <w:szCs w:val="17"/>
          <w:color w:val="auto"/>
        </w:rPr>
        <w:t>— The consolidated financial statements include our accounts and entities in which we maintain a controlling financial interest and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variable interest entity (VIE) for which we were the primary beneficiary. Intercompany transactions are eliminated in consolidation. Our fiscal year ends on the Sunday nearest July 31. There were 52 weeks in 2022 and 2021, and 53 weeks in 2020.</w:t>
      </w:r>
    </w:p>
    <w:p>
      <w:pPr>
        <w:spacing w:after="0" w:line="44"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Discontinued Operations </w:t>
      </w:r>
      <w:r>
        <w:rPr>
          <w:rFonts w:ascii="Times New Roman" w:cs="Times New Roman" w:eastAsia="Times New Roman" w:hAnsi="Times New Roman"/>
          <w:sz w:val="17"/>
          <w:szCs w:val="17"/>
          <w:color w:val="auto"/>
        </w:rPr>
        <w:t>— We present discontinued operations when there is a disposal of a component or a group of components that in our judgment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represents a strategic shift that will have a major effect on our operations and financial results. We aggregate the results of operations for discontinued operations into a single line item in the Consolidated Statements of Earnings for all periods presented. General corporate overhead is not allocated to discontinued operations. See Note 3 for additional information.</w:t>
      </w:r>
    </w:p>
    <w:p>
      <w:pPr>
        <w:spacing w:after="0" w:line="51" w:lineRule="exact"/>
        <w:rPr>
          <w:sz w:val="20"/>
          <w:szCs w:val="20"/>
          <w:color w:val="auto"/>
        </w:rPr>
      </w:pPr>
    </w:p>
    <w:p>
      <w:pPr>
        <w:jc w:val="both"/>
        <w:ind w:firstLine="309"/>
        <w:spacing w:after="0" w:line="291" w:lineRule="auto"/>
        <w:rPr>
          <w:sz w:val="20"/>
          <w:szCs w:val="20"/>
          <w:color w:val="auto"/>
        </w:rPr>
      </w:pPr>
      <w:r>
        <w:rPr>
          <w:rFonts w:ascii="Times New Roman" w:cs="Times New Roman" w:eastAsia="Times New Roman" w:hAnsi="Times New Roman"/>
          <w:sz w:val="17"/>
          <w:szCs w:val="17"/>
          <w:i w:val="1"/>
          <w:iCs w:val="1"/>
          <w:color w:val="auto"/>
        </w:rPr>
        <w:t xml:space="preserve">Use of Estimates </w:t>
      </w:r>
      <w:r>
        <w:rPr>
          <w:rFonts w:ascii="Times New Roman" w:cs="Times New Roman" w:eastAsia="Times New Roman" w:hAnsi="Times New Roman"/>
          <w:sz w:val="17"/>
          <w:szCs w:val="17"/>
          <w:color w:val="auto"/>
        </w:rPr>
        <w:t>— Generally accepted accounting principles require management to make estimates and assumptions that affect assets, liabilities, revenues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expenses. Actual results could differ from those estimates.</w:t>
      </w:r>
    </w:p>
    <w:p>
      <w:pPr>
        <w:spacing w:after="0" w:line="15"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Revenue Recognition </w:t>
      </w:r>
      <w:r>
        <w:rPr>
          <w:rFonts w:ascii="Times New Roman" w:cs="Times New Roman" w:eastAsia="Times New Roman" w:hAnsi="Times New Roman"/>
          <w:sz w:val="17"/>
          <w:szCs w:val="17"/>
          <w:color w:val="auto"/>
        </w:rPr>
        <w:t>— Our revenues primarily consist of the sale of food and beverage products through our own sales force and/or third-party brokers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distribution partners. Revenues are recognized when our performance obligation has been satisfied and control of the product passes to our customers, which typically occurs when products are delivered or accepted by customers in accordance with terms of agreements. Shipping and handling costs incurred to deliver the product are recorded within Cost of products sold. Amounts billed and due from our customers are classified as Accounts receivable in the Consolidated Balance Sheets and require payment on a short-term basis. Revenues are recognized net of provisions for returns, discounts and certain sales promotion expenses, such as feature price discounts, in-store display incentives, cooperative advertising programs, new product introduction fees and coupon redemption costs. These forms of variable consideration are recognized upon sale. The recognition of costs for promotion programs involves the use of judgment related to performance and redemption estimates. Estimates are made based on historical experience and other factors, including expected volume. Historically, the difference between actual experience compared to estimated redemptions and performance has not been significant to the quarterly or annual financial statements. Differences between estimates and actual costs are recognized as a change in estimate in a subsequent period. Revenues are presented on a net basis for arrangements under which suppliers perform certain additional services. See Note 6 for additional information on disaggregation of revenue.</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Cash and Cash Equivalents </w:t>
      </w:r>
      <w:r>
        <w:rPr>
          <w:rFonts w:ascii="Times New Roman" w:cs="Times New Roman" w:eastAsia="Times New Roman" w:hAnsi="Times New Roman"/>
          <w:sz w:val="17"/>
          <w:szCs w:val="17"/>
          <w:color w:val="auto"/>
        </w:rPr>
        <w:t>— All highly liquid debt instruments purchased with a maturity of three months or less are classified as cash equivalents.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Inventories </w:t>
      </w:r>
      <w:r>
        <w:rPr>
          <w:rFonts w:ascii="Times New Roman" w:cs="Times New Roman" w:eastAsia="Times New Roman" w:hAnsi="Times New Roman"/>
          <w:sz w:val="17"/>
          <w:szCs w:val="17"/>
          <w:color w:val="auto"/>
        </w:rPr>
        <w:t>— All inventories are valued at the lower of average cost or net realizable value.</w:t>
      </w:r>
    </w:p>
    <w:p>
      <w:pPr>
        <w:spacing w:after="0" w:line="88"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Property, Plant and Equipment </w:t>
      </w:r>
      <w:r>
        <w:rPr>
          <w:rFonts w:ascii="Times New Roman" w:cs="Times New Roman" w:eastAsia="Times New Roman" w:hAnsi="Times New Roman"/>
          <w:sz w:val="17"/>
          <w:szCs w:val="17"/>
          <w:color w:val="auto"/>
        </w:rPr>
        <w:t>— Property, plant and equipment are recorded at historical cost and are depreciated over estimated useful lives using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straight-line method. Buildings and machinery and equipment are depreciated over periods not exceeding 45 years and 20 years, respectively. Assets are evaluated for impairment when conditions indicate that the carrying value may not be recoverable. Such conditions include significant adverse changes in business climate or a plan of disposal. Repairs and maintenance are charged to expense as incurred.</w:t>
      </w:r>
    </w:p>
    <w:p>
      <w:pPr>
        <w:spacing w:after="0" w:line="51" w:lineRule="exact"/>
        <w:rPr>
          <w:sz w:val="20"/>
          <w:szCs w:val="20"/>
          <w:color w:val="auto"/>
        </w:rPr>
      </w:pPr>
    </w:p>
    <w:p>
      <w:pPr>
        <w:jc w:val="both"/>
        <w:ind w:firstLine="30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Goodwill and Intangible Assets </w:t>
      </w:r>
      <w:r>
        <w:rPr>
          <w:rFonts w:ascii="Times New Roman" w:cs="Times New Roman" w:eastAsia="Times New Roman" w:hAnsi="Times New Roman"/>
          <w:sz w:val="17"/>
          <w:szCs w:val="17"/>
          <w:color w:val="auto"/>
        </w:rPr>
        <w:t>— Goodwill and intangible assets deemed to have indefinite lives are not amortized but rather are tested at least annually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fourth quarter for impairment, or more often if events or changes in circumstances indicate that more likely than not the carrying amount of the asset may not be recoverable.</w:t>
      </w:r>
    </w:p>
    <w:p>
      <w:pPr>
        <w:spacing w:after="0" w:line="48"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Goodwill is tested for impairment at the reporting unit level. A reporting unit represents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 We may elect not to perform the qualitative assessment for some or all reporting units and perform a quantitative impairment test. Fair value is determined based on discounted cash flow analyses. The discounted estimates of future cash flows include significant management assumptions such as revenue growth rates, operating margins, weighted average costs of capital and future economic and market conditions. If the carrying value of the reporting unit exceeds fair value, goodwill is considered impaired. An impairment charge is recognized for the amount by which the carrying value of the reporting unit exceeds fair value, limited to the amount of goodwill in the reporting unit.</w:t>
      </w:r>
    </w:p>
    <w:p>
      <w:pPr>
        <w:spacing w:after="0" w:line="5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Indefinite-lived intangible assets are tested for impairment by comparing the fair value of the asset to the carrying value. Fair value is determined using a relief from royalty valuation method based on discounted cash flow analyses that include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41" w:name="page42"/>
    <w:bookmarkEnd w:id="41"/>
    <w:p>
      <w:pPr>
        <w:jc w:val="both"/>
        <w:spacing w:after="0" w:line="286" w:lineRule="auto"/>
        <w:rPr>
          <w:sz w:val="20"/>
          <w:szCs w:val="20"/>
          <w:color w:val="auto"/>
        </w:rPr>
      </w:pPr>
      <w:r>
        <w:rPr>
          <w:rFonts w:ascii="Times New Roman" w:cs="Times New Roman" w:eastAsia="Times New Roman" w:hAnsi="Times New Roman"/>
          <w:sz w:val="17"/>
          <w:szCs w:val="17"/>
          <w:color w:val="auto"/>
        </w:rPr>
        <w:t>significant management assumptions such as revenue growth rates, weighted average costs of capital and assumed royalty rates. If the carrying value exceeds fair value, an impairment charge will be recorded to reduce the asset to fair value.</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Note 5 for more information.</w:t>
      </w:r>
    </w:p>
    <w:p>
      <w:pPr>
        <w:spacing w:after="0" w:line="97"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Leases — </w:t>
      </w:r>
      <w:r>
        <w:rPr>
          <w:rFonts w:ascii="Times New Roman" w:cs="Times New Roman" w:eastAsia="Times New Roman" w:hAnsi="Times New Roman"/>
          <w:sz w:val="17"/>
          <w:szCs w:val="17"/>
          <w:color w:val="auto"/>
        </w:rPr>
        <w:t>We determine if an agreement is or contains a lease at inception by evaluating if an identified asset exists that we control for a period of time. When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lease exists, we record a right-of-use (ROU) asset and a corresponding lease liability on our Consolidated Balance Sheet. ROU assets represent our right to use an underlying asset for the lease term and the corresponding liabilities represent an obligation to make lease payments during the term. We have elected not to record leases with a term of 12 months or less on our Consolidated Balance Sheet.</w:t>
      </w:r>
    </w:p>
    <w:p>
      <w:pPr>
        <w:spacing w:after="0" w:line="5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ROU assets are recorded on our Consolidated Balance Sheet at lease commencement based on the present value of the corresponding liabilities and are adjusted for any prepayments, lease incentives received, or initial direct costs incurred. To calculate the present value of our lease liabilities, we use a country-specific collateralized incremental borrowing rate based on the lease term at commencement. The measurement of our ROU assets and liabilities includes all fixed payments and any variable payments based on an index or rate.</w:t>
      </w:r>
    </w:p>
    <w:p>
      <w:pPr>
        <w:spacing w:after="0" w:line="4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Our leases generally include options to extend or terminate use of the underlying assets. These options are included in the lease term used to determine ROU assets and corresponding liabilities when we are reasonably certain we will exercise.</w:t>
      </w:r>
    </w:p>
    <w:p>
      <w:pPr>
        <w:spacing w:after="0" w:line="36"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Our lease arrangements typically include non-lease components, such as common area maintenance and labor. We account for each lease and any non-lease components associated with that lease as a single lease component for all underlying asset classes with the exception of certain production assets. Accordingly, all costs associated with a lease contract are disclosed as lease costs. This includes any variable payments that are not dependent on an index or a rate and which are expensed as incurred.</w:t>
      </w:r>
    </w:p>
    <w:p>
      <w:pPr>
        <w:spacing w:after="0" w:line="5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Operating leases expense is recognized on a straight-line basis over the lease term with the expense recorded in Cost of products sold, Marketing and selling expenses, or Administrative expenses depending on the nature of the leased item.</w:t>
      </w:r>
    </w:p>
    <w:p>
      <w:pPr>
        <w:spacing w:after="0" w:line="23"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For finance leases, the amortization of ROU lease assets is recognized on a straight-line basis over the shorter of the estimated useful life of the underlying asset or the lease term in Cost of products sold, Marketing and selling expenses, or Administrative expenses depending on the nature of the leased item. Interest expense on finance lease obligations is recorded using the effective interest method over the lease term and is recorded in Interest expense.</w:t>
      </w:r>
    </w:p>
    <w:p>
      <w:pPr>
        <w:spacing w:after="0" w:line="5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All operating lease cash payments and interest on finance leases are recorded within Net cash provided by operating activities and all finance lease principal payments are recorded within Net cash used in financing activities in our Consolidated Statements of Cash Flows.</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Note 10 for more information.</w:t>
      </w:r>
    </w:p>
    <w:p>
      <w:pPr>
        <w:spacing w:after="0" w:line="84"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Derivative Financial Instruments </w:t>
      </w:r>
      <w:r>
        <w:rPr>
          <w:rFonts w:ascii="Times New Roman" w:cs="Times New Roman" w:eastAsia="Times New Roman" w:hAnsi="Times New Roman"/>
          <w:sz w:val="17"/>
          <w:szCs w:val="17"/>
          <w:color w:val="auto"/>
        </w:rPr>
        <w:t>— We use derivative financial instruments primarily for purposes of hedging exposures to fluctuations in foreign currency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exchange rates, interest rates, commodities and equity-linked employee benefit obligations.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strategies that qualify and strategies that do not qualify for hedge accounting treatment. To qualify for hedge accounting, the hedging relationship, both at inception of the hedge and on an ongoing basis, is expected to be highly effective in achieving offsetting changes in the fair value of the hedged risk during the period that the hedge is designated.</w:t>
      </w:r>
    </w:p>
    <w:p>
      <w:pPr>
        <w:spacing w:after="0" w:line="60"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All derivatives are recognized on the balance sheet at fair value. For derivatives that qualify for hedge accounting, we designate the derivative as a hedge of the fair value of a recognized asset or liability or a firm commitment (fair-value hedge) or a hedge of a forecasted transaction or of the variability of cash flows to be received or paid related to a recognized asset or liability (cash-flow hedge). Some derivatives may also be considered natural hedging instruments (changes in fair value act as economic offsets to changes in fair value of the underlying hedged item) and are not designated for hedge accounting.</w:t>
      </w:r>
    </w:p>
    <w:p>
      <w:pPr>
        <w:spacing w:after="0" w:line="54"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Changes in the fair value on the portion of the derivative included in the assessment of hedge effectiveness of a fair-value hedge, along with the gain or loss on the underlying hedged asset or liability (including losses or gains on firm commitments), are recorded in current-period earnings.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effectiveness and the amounts recognized in earnings is recorded as a component of other comprehensive income (loss). Changes in the fair value of derivatives that are not designated for hedge accounting are recognized in current-period earnings.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42" w:name="page43"/>
    <w:bookmarkEnd w:id="42"/>
    <w:p>
      <w:pPr>
        <w:ind w:left="320"/>
        <w:spacing w:after="0"/>
        <w:rPr>
          <w:sz w:val="20"/>
          <w:szCs w:val="20"/>
          <w:color w:val="auto"/>
        </w:rPr>
      </w:pPr>
      <w:r>
        <w:rPr>
          <w:rFonts w:ascii="Times New Roman" w:cs="Times New Roman" w:eastAsia="Times New Roman" w:hAnsi="Times New Roman"/>
          <w:sz w:val="17"/>
          <w:szCs w:val="17"/>
          <w:color w:val="auto"/>
        </w:rPr>
        <w:t>Cash flows from derivative contracts are included in Net cash provided by operating activities.</w:t>
      </w:r>
    </w:p>
    <w:p>
      <w:pPr>
        <w:spacing w:after="0" w:line="84" w:lineRule="exact"/>
        <w:rPr>
          <w:sz w:val="20"/>
          <w:szCs w:val="20"/>
          <w:color w:val="auto"/>
        </w:rPr>
      </w:pPr>
    </w:p>
    <w:p>
      <w:pPr>
        <w:jc w:val="both"/>
        <w:ind w:firstLine="309"/>
        <w:spacing w:after="0" w:line="291" w:lineRule="auto"/>
        <w:rPr>
          <w:sz w:val="20"/>
          <w:szCs w:val="20"/>
          <w:color w:val="auto"/>
        </w:rPr>
      </w:pPr>
      <w:r>
        <w:rPr>
          <w:rFonts w:ascii="Times New Roman" w:cs="Times New Roman" w:eastAsia="Times New Roman" w:hAnsi="Times New Roman"/>
          <w:sz w:val="17"/>
          <w:szCs w:val="17"/>
          <w:i w:val="1"/>
          <w:iCs w:val="1"/>
          <w:color w:val="auto"/>
        </w:rPr>
        <w:t xml:space="preserve">Advertising Production Costs </w:t>
      </w:r>
      <w:r>
        <w:rPr>
          <w:rFonts w:ascii="Times New Roman" w:cs="Times New Roman" w:eastAsia="Times New Roman" w:hAnsi="Times New Roman"/>
          <w:sz w:val="17"/>
          <w:szCs w:val="17"/>
          <w:color w:val="auto"/>
        </w:rPr>
        <w:t>— Advertising production costs are expensed in the period that the advertisement first takes place or when a decision is made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 to use an advertisement.</w:t>
      </w:r>
    </w:p>
    <w:p>
      <w:pPr>
        <w:spacing w:after="0" w:line="28" w:lineRule="exact"/>
        <w:rPr>
          <w:sz w:val="20"/>
          <w:szCs w:val="20"/>
          <w:color w:val="auto"/>
        </w:rPr>
      </w:pPr>
    </w:p>
    <w:p>
      <w:pPr>
        <w:jc w:val="both"/>
        <w:ind w:firstLine="30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Costs </w:t>
      </w:r>
      <w:r>
        <w:rPr>
          <w:rFonts w:ascii="Times New Roman" w:cs="Times New Roman" w:eastAsia="Times New Roman" w:hAnsi="Times New Roman"/>
          <w:sz w:val="17"/>
          <w:szCs w:val="17"/>
          <w:color w:val="auto"/>
        </w:rPr>
        <w:t>— The costs of research and development are expensed as incurred. Costs include expenditures for new product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manufacturing process innovation, and improvements to existing products and processes. Costs primarily consist of salaries, wages, consulting, and depreciation and maintenance of research facilities and equipment.</w:t>
      </w:r>
    </w:p>
    <w:p>
      <w:pPr>
        <w:spacing w:after="0" w:line="44"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Income Taxes </w:t>
      </w:r>
      <w:r>
        <w:rPr>
          <w:rFonts w:ascii="Times New Roman" w:cs="Times New Roman" w:eastAsia="Times New Roman" w:hAnsi="Times New Roman"/>
          <w:sz w:val="17"/>
          <w:szCs w:val="17"/>
          <w:color w:val="auto"/>
        </w:rPr>
        <w:t>— Deferred tax assets and liabilities are recognized for the future impact of differences between the financial statement carrying amounts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assets and liabilities and their respective tax bases, as well as for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w:t>
      </w:r>
    </w:p>
    <w:p>
      <w:pPr>
        <w:spacing w:after="0" w:line="40" w:lineRule="exact"/>
        <w:rPr>
          <w:sz w:val="20"/>
          <w:szCs w:val="20"/>
          <w:color w:val="auto"/>
        </w:rPr>
      </w:pPr>
    </w:p>
    <w:p>
      <w:pPr>
        <w:ind w:left="320" w:right="8400" w:hanging="317"/>
        <w:spacing w:after="0" w:line="366" w:lineRule="auto"/>
        <w:tabs>
          <w:tab w:leader="none" w:pos="183"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 Accounting Pronouncements </w:t>
      </w:r>
      <w:r>
        <w:rPr>
          <w:rFonts w:ascii="Times New Roman" w:cs="Times New Roman" w:eastAsia="Times New Roman" w:hAnsi="Times New Roman"/>
          <w:sz w:val="17"/>
          <w:szCs w:val="17"/>
          <w:i w:val="1"/>
          <w:iCs w:val="1"/>
          <w:u w:val="single" w:color="auto"/>
          <w:color w:val="auto"/>
        </w:rPr>
        <w:t>Recently Adopted</w:t>
      </w: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August 2018, the Financial Accounting Standards Board (FASB) issued guidance that eliminates, adds and modifies certain disclosure requirements for fair value measurements. The guidance is effective for fiscal years beginning after December 15, 2019, and interim periods within those years. We adopted the guidance in the first quarter of 2021. The adoption did not have a material impact on our consolidated financial statements.</w:t>
      </w:r>
    </w:p>
    <w:p>
      <w:pPr>
        <w:spacing w:after="0" w:line="38"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In August 2018, the FASB issued guidance on accounting for implementation costs incurred in a cloud computing arrangement that is a service contract. The guidance aligns the requirements for capitalizing implementation costs incurred in a hosting arrangement that is a service contract with the requirements for capitalizing implementation costs incurred to develop or obtain internal-use software. The guidance is effective for fiscal years beginning after December 15, 2019. Entities have the option to apply the guidance prospectively to all implementation costs incurred after the date of adoption or retrospectively. Early adoption is permitted. We adopted the guidance on a prospective basis in the first quarter of 2021. The adoption did not have a material impact on our consolidated financial statements.</w:t>
      </w:r>
    </w:p>
    <w:p>
      <w:pPr>
        <w:spacing w:after="0" w:line="6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August 2018, the FASB issued guidance that changes the disclosure requirements related to defined benefit pension and postretirement plans. The guidance is effective for fiscal years ending after December 15, 2020. The guidance is to be applied on a retrospective basis. We adopted the guidance in 2021. The adoption did not have a material impact on our consolidated financial statements.</w:t>
      </w:r>
    </w:p>
    <w:p>
      <w:pPr>
        <w:spacing w:after="0" w:line="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December 2019, the FASB issued guidance on simplifying the accounting for income taxes. The guidance removes certain exceptions to the general principles of accounting for income taxes and also improves consistent application of accounting by clarifying or amending existing guidance. We adopted the guidance in the first quarter of 2022. The adoption did not have an impact on our consolidated financial statements.</w:t>
      </w:r>
    </w:p>
    <w:p>
      <w:pPr>
        <w:spacing w:after="0" w:line="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u w:val="single" w:color="auto"/>
          <w:color w:val="auto"/>
        </w:rPr>
        <w:t>Accounting Pronouncements Not Yet Adopted</w:t>
      </w:r>
    </w:p>
    <w:p>
      <w:pPr>
        <w:spacing w:after="0" w:line="10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March 2020, the FASB issued guidance that provides optional expedients and exceptions for a limited period of time for accounting for contracts, hedging relationships and other transactions affected by the London Interbank Offered Rate (LIBOR) or another reference rate expected to be discontinued. Optional expedients can be applied from March 12, 2020, through December 31, 2022. The adoption is not expected to have a material impact on our consolidated financial statements.</w:t>
      </w:r>
    </w:p>
    <w:p>
      <w:pPr>
        <w:spacing w:after="0" w:line="50" w:lineRule="exact"/>
        <w:rPr>
          <w:sz w:val="20"/>
          <w:szCs w:val="20"/>
          <w:color w:val="auto"/>
        </w:rPr>
      </w:pPr>
    </w:p>
    <w:p>
      <w:pPr>
        <w:ind w:right="9500" w:firstLine="3"/>
        <w:spacing w:after="0" w:line="358" w:lineRule="auto"/>
        <w:tabs>
          <w:tab w:leader="none" w:pos="172"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Divestitures </w:t>
      </w:r>
      <w:r>
        <w:rPr>
          <w:rFonts w:ascii="Times New Roman" w:cs="Times New Roman" w:eastAsia="Times New Roman" w:hAnsi="Times New Roman"/>
          <w:sz w:val="17"/>
          <w:szCs w:val="17"/>
          <w:i w:val="1"/>
          <w:iCs w:val="1"/>
          <w:color w:val="auto"/>
        </w:rPr>
        <w:t>Discontinued Operations</w:t>
      </w: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We completed the sale of our Kelsen business on September 23, 2019, for $322 million. We also completed the sale of our Arnott’s business and certain other international operations, including the simple meals and shelf-stable beverages businesses in Australia and Asia Pacific (the Arnott's and other international operations), on December 23, 2019, for $2.286 billion. The purchase price was subject to certain post-closing adjustments, which resulted in $4 million of additional proceeds in the third quarter of 2020. Beginning in the fourth quarter of 2019, we have reflected the results of operations of the Kelsen business and the Arnott’s and other international operations (collectively referred to as Campbell International) as discontinued operations in the Consolidated Statements of Earnings for all periods presented. These businesses were historically included in the Snacks reportable segment.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43" w:name="page44"/>
    <w:bookmarkEnd w:id="43"/>
    <w:p>
      <w:pPr>
        <w:ind w:left="320"/>
        <w:spacing w:after="0"/>
        <w:rPr>
          <w:sz w:val="20"/>
          <w:szCs w:val="20"/>
          <w:color w:val="auto"/>
        </w:rPr>
      </w:pPr>
      <w:r>
        <w:rPr>
          <w:rFonts w:ascii="Times New Roman" w:cs="Times New Roman" w:eastAsia="Times New Roman" w:hAnsi="Times New Roman"/>
          <w:sz w:val="17"/>
          <w:szCs w:val="17"/>
          <w:color w:val="auto"/>
        </w:rPr>
        <w:t>Results of discontinued operations were as follows:</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7138670" cy="163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sales</w:t>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Earnings before taxes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390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Taxes on earnings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Gain on sales of businesses / costs associated with selling the businesses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Tax expense on sales / costs associated with selling the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Earnings from discontinued operations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2020</w:t>
      </w:r>
    </w:p>
    <w:p>
      <w:pPr>
        <w:spacing w:after="0" w:line="53" w:lineRule="exact"/>
        <w:rPr>
          <w:sz w:val="20"/>
          <w:szCs w:val="20"/>
          <w:color w:val="auto"/>
        </w:rPr>
      </w:pPr>
    </w:p>
    <w:p>
      <w:pPr>
        <w:ind w:left="980" w:hanging="971"/>
        <w:spacing w:after="0"/>
        <w:tabs>
          <w:tab w:leader="none" w:pos="9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8337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33755" cy="8255"/>
                    </a:xfrm>
                    <a:prstGeom prst="rect">
                      <a:avLst/>
                    </a:prstGeom>
                    <a:noFill/>
                  </pic:spPr>
                </pic:pic>
              </a:graphicData>
            </a:graphic>
          </wp:anchor>
        </w:drawing>
      </w:r>
    </w:p>
    <w:p>
      <w:pPr>
        <w:spacing w:after="0" w:line="287" w:lineRule="exact"/>
        <w:rPr>
          <w:sz w:val="20"/>
          <w:szCs w:val="20"/>
          <w:color w:val="auto"/>
        </w:rPr>
      </w:pPr>
    </w:p>
    <w:p>
      <w:pPr>
        <w:ind w:left="1060" w:hanging="1051"/>
        <w:spacing w:after="0"/>
        <w:tabs>
          <w:tab w:leader="none" w:pos="10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53</w:t>
      </w:r>
    </w:p>
    <w:p>
      <w:pPr>
        <w:spacing w:after="0" w:line="27" w:lineRule="exact"/>
        <w:rPr>
          <w:rFonts w:ascii="Times New Roman" w:cs="Times New Roman" w:eastAsia="Times New Roman" w:hAnsi="Times New Roman"/>
          <w:sz w:val="17"/>
          <w:szCs w:val="17"/>
          <w:color w:val="auto"/>
        </w:rPr>
      </w:pPr>
    </w:p>
    <w:p>
      <w:pPr>
        <w:ind w:left="10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1,039</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39</w:t>
      </w:r>
    </w:p>
    <w:p>
      <w:pPr>
        <w:spacing w:after="0" w:line="32" w:lineRule="exact"/>
        <w:rPr>
          <w:sz w:val="20"/>
          <w:szCs w:val="20"/>
          <w:color w:val="auto"/>
        </w:rPr>
      </w:pPr>
    </w:p>
    <w:p>
      <w:pPr>
        <w:ind w:left="860" w:hanging="851"/>
        <w:spacing w:after="0"/>
        <w:tabs>
          <w:tab w:leader="none" w:pos="8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8337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33755" cy="8255"/>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9220" w:space="720"/>
            <w:col w:w="1300"/>
          </w:cols>
          <w:pgMar w:left="320" w:top="947" w:right="339" w:bottom="1440" w:gutter="0" w:footer="0" w:header="0"/>
        </w:sectPr>
      </w:pPr>
    </w:p>
    <w:p>
      <w:pPr>
        <w:spacing w:after="0" w:line="17"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 addition, in the third quarter of 2021, we recognized a $6 million loss due to tax expense from return-to-provision adjustments related to the sale of Campbell International.</w:t>
      </w:r>
    </w:p>
    <w:p>
      <w:pPr>
        <w:spacing w:after="0" w:line="23"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sale of the Arnott's and other international operations resulted in a substantial capital gain for tax purposes. We were able to utilize capital losses in 2020, which were offset with valuation allowances as of July 28, 2019, to offset the capital gain.</w:t>
      </w:r>
    </w:p>
    <w:p>
      <w:pPr>
        <w:spacing w:after="0" w:line="36"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Under the terms of the sale of the Arnott's and other international operations, we entered into a long-term licensing arrangement for the exclusive rights to certain Campbell brands in certain non-U.S. markets. We provided certain transition services to support the divested businesses.</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significant operating non-cash items, capital expenditures and sale proceeds of discontinued operations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rPr>
                <w:sz w:val="15"/>
                <w:szCs w:val="15"/>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
        </w:trPr>
        <w:tc>
          <w:tcPr>
            <w:tcW w:w="9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discontinued operating activities: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9"/>
        </w:trPr>
        <w:tc>
          <w:tcPr>
            <w:tcW w:w="9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gain on sales of discontinued operations businesses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(1,039)</w:t>
            </w:r>
          </w:p>
        </w:tc>
      </w:tr>
      <w:tr>
        <w:trPr>
          <w:trHeight w:val="258"/>
        </w:trPr>
        <w:tc>
          <w:tcPr>
            <w:tcW w:w="99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19"/>
        </w:trPr>
        <w:tc>
          <w:tcPr>
            <w:tcW w:w="9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discontinued investing activities: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23"/>
        </w:trPr>
        <w:tc>
          <w:tcPr>
            <w:tcW w:w="9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Sales of discontinued operations businesses, net of cash divested</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2,466</w:t>
            </w: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Divestitures</w:t>
      </w:r>
    </w:p>
    <w:p>
      <w:pPr>
        <w:spacing w:after="0" w:line="92"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On October 11, 2019, we completed the sale of our European chips business for £63 million, or $77 million. The pre-tax loss recognized in the first quarter of 2020 on the sale was $64 million, which included the impact of allocated goodwill and foreign currency translation adjustments. For tax purposes, we were able to use the capital loss on this sale to offset a portion of the capital gain from the sale of the Arnott's and other international operations. The after-tax loss was $37 million. The European chips business had net sales of $25 million in 2020. Earnings from the business were not material. The results of the European chips business through the date of sale were reflected in continuing operations within the Snacks reportable segment.</w:t>
      </w:r>
    </w:p>
    <w:p>
      <w:pPr>
        <w:spacing w:after="0" w:line="57"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On May 3, 2021, we completed the sale of our Plum baby food and snacks business for $101 million. The purchase agreement contained customary representations, warranties, indemnifications and other obligations between us and the buyer. In addition, we have agreed to indemnify the buyer for certain claims against the Plum baby food and snacks business alleging the presence of heavy metals in the products manufactured or sold on or prior to May 2, 2021, that were pending at the time of closing of the transaction or are asserted within two years thereafter. We recognized a pre-tax loss of $11 million and an after-tax gain on the sale of $3 million. The business had net sales of $68 million in 2021 and $104 million in 2020. Earnings were not material in the periods. The results of the business through the date of sale were reflected in continuing operations within the Meals &amp; Beverages reportable segment.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color w:val="auto"/>
        </w:rPr>
        <w:t>4. Accumulated Other Comprehensive Income (Loss)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components of Accumulated other comprehensive income (loss) consisted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Foreign Currency</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Pension and</w:t>
            </w:r>
          </w:p>
        </w:tc>
        <w:tc>
          <w:tcPr>
            <w:tcW w:w="140" w:type="dxa"/>
            <w:vAlign w:val="bottom"/>
          </w:tcPr>
          <w:p>
            <w:pPr>
              <w:spacing w:after="0"/>
              <w:rPr>
                <w:sz w:val="13"/>
                <w:szCs w:val="13"/>
                <w:color w:val="auto"/>
              </w:rPr>
            </w:pPr>
          </w:p>
        </w:tc>
        <w:tc>
          <w:tcPr>
            <w:tcW w:w="13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7"/>
              </w:rPr>
              <w:t>Total Accumulated</w:t>
            </w:r>
          </w:p>
        </w:tc>
        <w:tc>
          <w:tcPr>
            <w:tcW w:w="0" w:type="dxa"/>
            <w:vAlign w:val="bottom"/>
          </w:tcPr>
          <w:p>
            <w:pPr>
              <w:spacing w:after="0"/>
              <w:rPr>
                <w:sz w:val="1"/>
                <w:szCs w:val="1"/>
                <w:color w:val="auto"/>
              </w:rPr>
            </w:pPr>
          </w:p>
        </w:tc>
      </w:tr>
      <w:tr>
        <w:trPr>
          <w:trHeight w:val="140"/>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4"/>
              </w:rPr>
              <w:t>Translation</w:t>
            </w:r>
          </w:p>
        </w:tc>
        <w:tc>
          <w:tcPr>
            <w:tcW w:w="100" w:type="dxa"/>
            <w:vAlign w:val="bottom"/>
          </w:tcPr>
          <w:p>
            <w:pPr>
              <w:spacing w:after="0"/>
              <w:rPr>
                <w:sz w:val="12"/>
                <w:szCs w:val="12"/>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Cash-Flow Hedges</w:t>
            </w:r>
            <w:r>
              <w:rPr>
                <w:rFonts w:ascii="Times New Roman" w:cs="Times New Roman" w:eastAsia="Times New Roman" w:hAnsi="Times New Roman"/>
                <w:sz w:val="17"/>
                <w:szCs w:val="17"/>
                <w:b w:val="1"/>
                <w:bCs w:val="1"/>
                <w:color w:val="auto"/>
                <w:vertAlign w:val="superscript"/>
              </w:rPr>
              <w:t>(2)</w:t>
            </w:r>
          </w:p>
        </w:tc>
        <w:tc>
          <w:tcPr>
            <w:tcW w:w="154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Postretirement Benefit</w:t>
            </w:r>
          </w:p>
        </w:tc>
        <w:tc>
          <w:tcPr>
            <w:tcW w:w="144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Comprehensive Income</w:t>
            </w:r>
          </w:p>
        </w:tc>
        <w:tc>
          <w:tcPr>
            <w:tcW w:w="0" w:type="dxa"/>
            <w:vAlign w:val="bottom"/>
          </w:tcPr>
          <w:p>
            <w:pPr>
              <w:spacing w:after="0"/>
              <w:rPr>
                <w:sz w:val="1"/>
                <w:szCs w:val="1"/>
                <w:color w:val="auto"/>
              </w:rPr>
            </w:pPr>
          </w:p>
        </w:tc>
      </w:tr>
      <w:tr>
        <w:trPr>
          <w:trHeight w:val="193"/>
        </w:trPr>
        <w:tc>
          <w:tcPr>
            <w:tcW w:w="51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r>
              <w:rPr>
                <w:rFonts w:ascii="Times New Roman" w:cs="Times New Roman" w:eastAsia="Times New Roman" w:hAnsi="Times New Roman"/>
                <w:sz w:val="8"/>
                <w:szCs w:val="8"/>
                <w:b w:val="1"/>
                <w:bCs w:val="1"/>
                <w:color w:val="auto"/>
              </w:rPr>
              <w:t>(1)</w:t>
            </w: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Plan Adjustments</w:t>
            </w:r>
            <w:r>
              <w:rPr>
                <w:rFonts w:ascii="Times New Roman" w:cs="Times New Roman" w:eastAsia="Times New Roman" w:hAnsi="Times New Roman"/>
                <w:sz w:val="8"/>
                <w:szCs w:val="8"/>
                <w:b w:val="1"/>
                <w:bCs w:val="1"/>
                <w:color w:val="auto"/>
                <w:w w:val="99"/>
              </w:rPr>
              <w:t>(3)</w:t>
            </w:r>
          </w:p>
        </w:tc>
        <w:tc>
          <w:tcPr>
            <w:tcW w:w="140" w:type="dxa"/>
            <w:vAlign w:val="bottom"/>
          </w:tcPr>
          <w:p>
            <w:pPr>
              <w:spacing w:after="0"/>
              <w:rPr>
                <w:sz w:val="16"/>
                <w:szCs w:val="16"/>
                <w:color w:val="auto"/>
              </w:rPr>
            </w:pPr>
          </w:p>
        </w:tc>
        <w:tc>
          <w:tcPr>
            <w:tcW w:w="13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July 28, 2019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0" w:type="dxa"/>
            <w:vAlign w:val="bottom"/>
          </w:tcPr>
          <w:p>
            <w:pPr>
              <w:spacing w:after="0"/>
              <w:rPr>
                <w:sz w:val="1"/>
                <w:szCs w:val="1"/>
                <w:color w:val="auto"/>
              </w:rPr>
            </w:pPr>
          </w:p>
        </w:tc>
      </w:tr>
      <w:tr>
        <w:trPr>
          <w:trHeight w:val="212"/>
        </w:trPr>
        <w:tc>
          <w:tcPr>
            <w:tcW w:w="5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7"/>
        </w:trPr>
        <w:tc>
          <w:tcPr>
            <w:tcW w:w="516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Losses (gains) reclassified from accumulated other comprehensive</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160" w:type="dxa"/>
            <w:vAlign w:val="bottom"/>
            <w:shd w:val="clear" w:color="auto" w:fill="CCEEFF"/>
          </w:tcPr>
          <w:p>
            <w:pPr>
              <w:ind w:left="220"/>
              <w:spacing w:after="0" w:line="231" w:lineRule="exact"/>
              <w:rPr>
                <w:sz w:val="20"/>
                <w:szCs w:val="20"/>
                <w:color w:val="auto"/>
              </w:rPr>
            </w:pPr>
            <w:r>
              <w:rPr>
                <w:rFonts w:ascii="Times New Roman" w:cs="Times New Roman" w:eastAsia="Times New Roman" w:hAnsi="Times New Roman"/>
                <w:sz w:val="17"/>
                <w:szCs w:val="17"/>
                <w:color w:val="auto"/>
              </w:rPr>
              <w:t>income (loss)</w:t>
            </w:r>
            <w:r>
              <w:rPr>
                <w:rFonts w:ascii="Times New Roman" w:cs="Times New Roman" w:eastAsia="Times New Roman" w:hAnsi="Times New Roman"/>
                <w:sz w:val="22"/>
                <w:szCs w:val="22"/>
                <w:color w:val="auto"/>
                <w:vertAlign w:val="superscript"/>
              </w:rPr>
              <w:t>(4)</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212"/>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current-period other comprehensive income (loss)</w:t>
            </w: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August 2,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2"/>
        </w:trPr>
        <w:tc>
          <w:tcPr>
            <w:tcW w:w="5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67"/>
        </w:trPr>
        <w:tc>
          <w:tcPr>
            <w:tcW w:w="516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Losses (gains) reclassified from accumulated other comprehensive</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(loss)</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2"/>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current-period other comprehensive income (loss)</w:t>
            </w: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August 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2"/>
        </w:trPr>
        <w:tc>
          <w:tcPr>
            <w:tcW w:w="516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Other comprehensive income (loss) before reclassifications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0" w:type="dxa"/>
            <w:vAlign w:val="bottom"/>
          </w:tcPr>
          <w:p>
            <w:pPr>
              <w:spacing w:after="0"/>
              <w:rPr>
                <w:sz w:val="1"/>
                <w:szCs w:val="1"/>
                <w:color w:val="auto"/>
              </w:rPr>
            </w:pPr>
          </w:p>
        </w:tc>
      </w:tr>
      <w:tr>
        <w:trPr>
          <w:trHeight w:val="167"/>
        </w:trPr>
        <w:tc>
          <w:tcPr>
            <w:tcW w:w="516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b w:val="1"/>
                <w:bCs w:val="1"/>
                <w:color w:val="auto"/>
              </w:rPr>
              <w:t>Losses (gains) reclassified from accumulated other comprehensive</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0" w:type="dxa"/>
            <w:vAlign w:val="bottom"/>
          </w:tcPr>
          <w:p>
            <w:pPr>
              <w:spacing w:after="0"/>
              <w:rPr>
                <w:sz w:val="1"/>
                <w:szCs w:val="1"/>
                <w:color w:val="auto"/>
              </w:rPr>
            </w:pPr>
          </w:p>
        </w:tc>
      </w:tr>
      <w:tr>
        <w:trPr>
          <w:trHeight w:val="232"/>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income (loss)</w:t>
            </w:r>
          </w:p>
        </w:tc>
        <w:tc>
          <w:tcPr>
            <w:tcW w:w="160" w:type="dxa"/>
            <w:vAlign w:val="bottom"/>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current-period other comprehensive income (loss)</w:t>
            </w: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July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w:t>
      </w:r>
    </w:p>
    <w:p>
      <w:pPr>
        <w:ind w:left="300" w:hanging="297"/>
        <w:spacing w:after="0" w:line="212" w:lineRule="auto"/>
        <w:tabs>
          <w:tab w:leader="none" w:pos="300"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no tax as of July 31, 2022, August 1, 2021, and August 2, 2020, and a tax expense of $4 million as of July 28, 2019.</w:t>
      </w:r>
    </w:p>
    <w:p>
      <w:pPr>
        <w:ind w:left="300" w:hanging="297"/>
        <w:spacing w:after="0" w:line="185" w:lineRule="auto"/>
        <w:tabs>
          <w:tab w:leader="none" w:pos="300" w:val="left"/>
        </w:tabs>
        <w:numPr>
          <w:ilvl w:val="0"/>
          <w:numId w:val="4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Included no tax as of July 31, 2022, and a tax benefit of $1 million as of August 1, 2021 and August 2, 2020, and $2 million as of July 28, 2019.</w:t>
      </w:r>
    </w:p>
    <w:p>
      <w:pPr>
        <w:ind w:left="300" w:hanging="297"/>
        <w:spacing w:after="0" w:line="188" w:lineRule="auto"/>
        <w:tabs>
          <w:tab w:leader="none" w:pos="300" w:val="left"/>
        </w:tabs>
        <w:numPr>
          <w:ilvl w:val="0"/>
          <w:numId w:val="4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Included a tax expense of $1 million as of July 31, 2022 and August 1, 2021, $2 million as of August 2, 2020, and $8 million as of July 28, 2019.</w:t>
      </w:r>
    </w:p>
    <w:p>
      <w:pPr>
        <w:ind w:left="320" w:right="4700" w:hanging="317"/>
        <w:spacing w:after="0" w:line="273" w:lineRule="auto"/>
        <w:tabs>
          <w:tab w:leader="none" w:pos="308"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the reclassification from sale of businesses. See Note 3 for additional information. Amounts related to noncontrolling interests were not material.</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45" w:name="page46"/>
    <w:bookmarkEnd w:id="45"/>
    <w:p>
      <w:pPr>
        <w:ind w:left="320"/>
        <w:spacing w:after="0"/>
        <w:rPr>
          <w:sz w:val="20"/>
          <w:szCs w:val="20"/>
          <w:color w:val="auto"/>
        </w:rPr>
      </w:pPr>
      <w:r>
        <w:rPr>
          <w:rFonts w:ascii="Times New Roman" w:cs="Times New Roman" w:eastAsia="Times New Roman" w:hAnsi="Times New Roman"/>
          <w:sz w:val="17"/>
          <w:szCs w:val="17"/>
          <w:color w:val="auto"/>
        </w:rPr>
        <w:t>The amounts reclassified from Accumulated other comprehensive income (loss) consisted of the following: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3"/>
                <w:szCs w:val="13"/>
                <w:color w:val="auto"/>
              </w:rPr>
            </w:pPr>
          </w:p>
        </w:tc>
        <w:tc>
          <w:tcPr>
            <w:tcW w:w="82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26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Location of Loss (Gain) Recognized in</w:t>
            </w:r>
          </w:p>
        </w:tc>
        <w:tc>
          <w:tcPr>
            <w:tcW w:w="0" w:type="dxa"/>
            <w:vAlign w:val="bottom"/>
          </w:tcPr>
          <w:p>
            <w:pPr>
              <w:spacing w:after="0"/>
              <w:rPr>
                <w:sz w:val="1"/>
                <w:szCs w:val="1"/>
                <w:color w:val="auto"/>
              </w:rPr>
            </w:pPr>
          </w:p>
        </w:tc>
      </w:tr>
      <w:tr>
        <w:trPr>
          <w:trHeight w:val="187"/>
        </w:trPr>
        <w:tc>
          <w:tcPr>
            <w:tcW w:w="49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20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98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Currency translation losses (gains) realized upon disposal of</w:t>
            </w:r>
          </w:p>
        </w:tc>
        <w:tc>
          <w:tcPr>
            <w:tcW w:w="26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businesses</w:t>
            </w:r>
          </w:p>
        </w:tc>
        <w:tc>
          <w:tcPr>
            <w:tcW w:w="26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expenses / (income)</w:t>
            </w:r>
          </w:p>
        </w:tc>
        <w:tc>
          <w:tcPr>
            <w:tcW w:w="0" w:type="dxa"/>
            <w:vAlign w:val="bottom"/>
          </w:tcPr>
          <w:p>
            <w:pPr>
              <w:spacing w:after="0"/>
              <w:rPr>
                <w:sz w:val="1"/>
                <w:szCs w:val="1"/>
                <w:color w:val="auto"/>
              </w:rPr>
            </w:pPr>
          </w:p>
        </w:tc>
      </w:tr>
      <w:tr>
        <w:trPr>
          <w:trHeight w:val="177"/>
        </w:trPr>
        <w:tc>
          <w:tcPr>
            <w:tcW w:w="49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7"/>
                <w:szCs w:val="17"/>
                <w:color w:val="auto"/>
              </w:rPr>
              <w:t>Currency translation losses (gains) realized upon disposal of</w:t>
            </w:r>
          </w:p>
        </w:tc>
        <w:tc>
          <w:tcPr>
            <w:tcW w:w="2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Earnings (loss) from discontinued</w:t>
            </w:r>
          </w:p>
        </w:tc>
        <w:tc>
          <w:tcPr>
            <w:tcW w:w="0" w:type="dxa"/>
            <w:vAlign w:val="bottom"/>
          </w:tcPr>
          <w:p>
            <w:pPr>
              <w:spacing w:after="0"/>
              <w:rPr>
                <w:sz w:val="1"/>
                <w:szCs w:val="1"/>
                <w:color w:val="auto"/>
              </w:rPr>
            </w:pPr>
          </w:p>
        </w:tc>
      </w:tr>
      <w:tr>
        <w:trPr>
          <w:trHeight w:val="222"/>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businesses</w:t>
            </w:r>
          </w:p>
        </w:tc>
        <w:tc>
          <w:tcPr>
            <w:tcW w:w="2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operations</w:t>
            </w:r>
          </w:p>
        </w:tc>
        <w:tc>
          <w:tcPr>
            <w:tcW w:w="0" w:type="dxa"/>
            <w:vAlign w:val="bottom"/>
          </w:tcPr>
          <w:p>
            <w:pPr>
              <w:spacing w:after="0"/>
              <w:rPr>
                <w:sz w:val="1"/>
                <w:szCs w:val="1"/>
                <w:color w:val="auto"/>
              </w:rPr>
            </w:pPr>
          </w:p>
        </w:tc>
      </w:tr>
      <w:tr>
        <w:trPr>
          <w:trHeight w:val="212"/>
        </w:trPr>
        <w:tc>
          <w:tcPr>
            <w:tcW w:w="4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Total before tax</w:t>
            </w: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Tax expense (benefit)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Loss (gain), net of tax</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Losses (gains) on cash-flow hedges: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Commodity contracts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products sold</w:t>
            </w:r>
          </w:p>
        </w:tc>
        <w:tc>
          <w:tcPr>
            <w:tcW w:w="0" w:type="dxa"/>
            <w:vAlign w:val="bottom"/>
          </w:tcPr>
          <w:p>
            <w:pPr>
              <w:spacing w:after="0"/>
              <w:rPr>
                <w:sz w:val="1"/>
                <w:szCs w:val="1"/>
                <w:color w:val="auto"/>
              </w:rPr>
            </w:pPr>
          </w:p>
        </w:tc>
      </w:tr>
      <w:tr>
        <w:trPr>
          <w:trHeight w:val="219"/>
        </w:trPr>
        <w:tc>
          <w:tcPr>
            <w:tcW w:w="4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exchange forward contracts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products sold</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exchange forward contracts</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expenses / (income)</w:t>
            </w:r>
          </w:p>
        </w:tc>
        <w:tc>
          <w:tcPr>
            <w:tcW w:w="0" w:type="dxa"/>
            <w:vAlign w:val="bottom"/>
          </w:tcPr>
          <w:p>
            <w:pPr>
              <w:spacing w:after="0"/>
              <w:rPr>
                <w:sz w:val="1"/>
                <w:szCs w:val="1"/>
                <w:color w:val="auto"/>
              </w:rPr>
            </w:pPr>
          </w:p>
        </w:tc>
      </w:tr>
      <w:tr>
        <w:trPr>
          <w:trHeight w:val="177"/>
        </w:trPr>
        <w:tc>
          <w:tcPr>
            <w:tcW w:w="4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Earnings (loss) from discontinued</w:t>
            </w:r>
          </w:p>
        </w:tc>
        <w:tc>
          <w:tcPr>
            <w:tcW w:w="0" w:type="dxa"/>
            <w:vAlign w:val="bottom"/>
          </w:tcPr>
          <w:p>
            <w:pPr>
              <w:spacing w:after="0"/>
              <w:rPr>
                <w:sz w:val="1"/>
                <w:szCs w:val="1"/>
                <w:color w:val="auto"/>
              </w:rPr>
            </w:pPr>
          </w:p>
        </w:tc>
      </w:tr>
      <w:tr>
        <w:trPr>
          <w:trHeight w:val="222"/>
        </w:trPr>
        <w:tc>
          <w:tcPr>
            <w:tcW w:w="4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exchange forward contracts</w:t>
            </w:r>
          </w:p>
        </w:tc>
        <w:tc>
          <w:tcPr>
            <w:tcW w:w="2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operations</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Forward starting interest rate swaps</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0" w:type="dxa"/>
            <w:vAlign w:val="bottom"/>
          </w:tcPr>
          <w:p>
            <w:pPr>
              <w:spacing w:after="0"/>
              <w:rPr>
                <w:sz w:val="1"/>
                <w:szCs w:val="1"/>
                <w:color w:val="auto"/>
              </w:rPr>
            </w:pPr>
          </w:p>
        </w:tc>
      </w:tr>
      <w:tr>
        <w:trPr>
          <w:trHeight w:val="212"/>
        </w:trPr>
        <w:tc>
          <w:tcPr>
            <w:tcW w:w="4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Total before tax</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Loss (gain), net of tax</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postretirement benefit adjustments: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Prior service credit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expenses / (income)</w:t>
            </w:r>
          </w:p>
        </w:tc>
        <w:tc>
          <w:tcPr>
            <w:tcW w:w="0" w:type="dxa"/>
            <w:vAlign w:val="bottom"/>
          </w:tcPr>
          <w:p>
            <w:pPr>
              <w:spacing w:after="0"/>
              <w:rPr>
                <w:sz w:val="1"/>
                <w:szCs w:val="1"/>
                <w:color w:val="auto"/>
              </w:rPr>
            </w:pPr>
          </w:p>
        </w:tc>
      </w:tr>
      <w:tr>
        <w:trPr>
          <w:trHeight w:val="219"/>
        </w:trPr>
        <w:tc>
          <w:tcPr>
            <w:tcW w:w="4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Tax expense (benefit)</w:t>
            </w: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80" w:type="dxa"/>
            <w:vAlign w:val="bottom"/>
            <w:tcBorders>
              <w:top w:val="single" w:sz="8" w:color="CCEEFF"/>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Loss (gain), net of tax</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47" w:right="379" w:bottom="1440" w:gutter="0" w:footer="0" w:header="0"/>
        </w:sectPr>
      </w:pPr>
    </w:p>
    <w:bookmarkStart w:id="46" w:name="page47"/>
    <w:bookmarkEnd w:id="46"/>
    <w:p>
      <w:pPr>
        <w:ind w:right="8780" w:firstLine="3"/>
        <w:spacing w:after="0" w:line="358" w:lineRule="auto"/>
        <w:tabs>
          <w:tab w:leader="none" w:pos="172"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Goodwill and Intangible Assets </w:t>
      </w:r>
      <w:r>
        <w:rPr>
          <w:rFonts w:ascii="Times New Roman" w:cs="Times New Roman" w:eastAsia="Times New Roman" w:hAnsi="Times New Roman"/>
          <w:sz w:val="17"/>
          <w:szCs w:val="17"/>
          <w:b w:val="1"/>
          <w:bCs w:val="1"/>
          <w:i w:val="1"/>
          <w:iCs w:val="1"/>
          <w:color w:val="auto"/>
        </w:rPr>
        <w:t>Goodwill</w:t>
      </w: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shows the changes in the carrying amount of goodwill:</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28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300" w:type="dxa"/>
            <w:vAlign w:val="bottom"/>
          </w:tcPr>
          <w:p>
            <w:pPr>
              <w:spacing w:after="0"/>
              <w:rPr>
                <w:sz w:val="15"/>
                <w:szCs w:val="15"/>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balance at August 2, 2020</w:t>
            </w:r>
          </w:p>
        </w:tc>
        <w:tc>
          <w:tcPr>
            <w:tcW w:w="54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3,986</w:t>
            </w:r>
          </w:p>
        </w:tc>
      </w:tr>
      <w:tr>
        <w:trPr>
          <w:trHeight w:val="219"/>
        </w:trPr>
        <w:tc>
          <w:tcPr>
            <w:tcW w:w="70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Divestiture</w:t>
            </w:r>
            <w:r>
              <w:rPr>
                <w:rFonts w:ascii="Times New Roman" w:cs="Times New Roman" w:eastAsia="Times New Roman" w:hAnsi="Times New Roman"/>
                <w:sz w:val="22"/>
                <w:szCs w:val="22"/>
                <w:color w:val="auto"/>
                <w:vertAlign w:val="superscript"/>
              </w:rPr>
              <w:t>(1)</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balance at August 1, 2021</w:t>
            </w:r>
          </w:p>
        </w:tc>
        <w:tc>
          <w:tcPr>
            <w:tcW w:w="540" w:type="dxa"/>
            <w:vAlign w:val="bottom"/>
            <w:tcBorders>
              <w:top w:val="single" w:sz="8" w:color="auto"/>
            </w:tcBorders>
          </w:tcPr>
          <w:p>
            <w:pPr>
              <w:jc w:val="right"/>
              <w:ind w:right="358"/>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970</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3,011</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3,981</w:t>
            </w:r>
          </w:p>
        </w:tc>
      </w:tr>
      <w:tr>
        <w:trPr>
          <w:trHeight w:val="219"/>
        </w:trPr>
        <w:tc>
          <w:tcPr>
            <w:tcW w:w="70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b w:val="1"/>
                <w:bCs w:val="1"/>
                <w:color w:val="auto"/>
              </w:rPr>
              <w:t>Amounts reclassified due to segment change</w:t>
            </w:r>
            <w:r>
              <w:rPr>
                <w:rFonts w:ascii="Times New Roman" w:cs="Times New Roman" w:eastAsia="Times New Roman" w:hAnsi="Times New Roman"/>
                <w:sz w:val="22"/>
                <w:szCs w:val="22"/>
                <w:b w:val="1"/>
                <w:bCs w:val="1"/>
                <w:color w:val="auto"/>
                <w:vertAlign w:val="superscript"/>
              </w:rPr>
              <w:t>(2)</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Foreign currency translation adjustment</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r>
      <w:tr>
        <w:trPr>
          <w:trHeight w:val="237"/>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balance at July 31, 2022</w:t>
            </w:r>
          </w:p>
        </w:tc>
        <w:tc>
          <w:tcPr>
            <w:tcW w:w="540" w:type="dxa"/>
            <w:vAlign w:val="bottom"/>
            <w:tcBorders>
              <w:top w:val="single" w:sz="8" w:color="auto"/>
              <w:bottom w:val="single" w:sz="8" w:color="auto"/>
            </w:tcBorders>
            <w:shd w:val="clear" w:color="auto" w:fill="CCEEFF"/>
          </w:tcPr>
          <w:p>
            <w:pPr>
              <w:jc w:val="right"/>
              <w:ind w:right="358"/>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3,979</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w:t>
      </w:r>
    </w:p>
    <w:p>
      <w:pPr>
        <w:spacing w:after="0" w:line="19" w:lineRule="exact"/>
        <w:rPr>
          <w:sz w:val="20"/>
          <w:szCs w:val="20"/>
          <w:color w:val="auto"/>
        </w:rPr>
      </w:pPr>
    </w:p>
    <w:p>
      <w:pPr>
        <w:ind w:left="300" w:hanging="297"/>
        <w:spacing w:after="0"/>
        <w:tabs>
          <w:tab w:leader="none" w:pos="300" w:val="left"/>
        </w:tabs>
        <w:numPr>
          <w:ilvl w:val="0"/>
          <w:numId w:val="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Note 3 for additional information on the sale of the Plum baby and snack foods business.</w:t>
      </w:r>
    </w:p>
    <w:p>
      <w:pPr>
        <w:spacing w:after="0" w:line="26"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Note 6 for additional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balance sheet information for intangible assets, excluding goodwill: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280" w:type="dxa"/>
            <w:vAlign w:val="bottom"/>
          </w:tcPr>
          <w:p>
            <w:pPr>
              <w:spacing w:after="0"/>
              <w:rPr>
                <w:sz w:val="10"/>
                <w:szCs w:val="10"/>
                <w:color w:val="auto"/>
              </w:rPr>
            </w:pPr>
          </w:p>
        </w:tc>
        <w:tc>
          <w:tcPr>
            <w:tcW w:w="840" w:type="dxa"/>
            <w:vAlign w:val="bottom"/>
            <w:vMerge w:val="restart"/>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0"/>
                <w:szCs w:val="10"/>
                <w:color w:val="auto"/>
              </w:rPr>
            </w:pPr>
          </w:p>
        </w:tc>
        <w:tc>
          <w:tcPr>
            <w:tcW w:w="1100" w:type="dxa"/>
            <w:vAlign w:val="bottom"/>
            <w:gridSpan w:val="2"/>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280" w:type="dxa"/>
            <w:vAlign w:val="bottom"/>
          </w:tcPr>
          <w:p>
            <w:pPr>
              <w:spacing w:after="0"/>
              <w:rPr>
                <w:sz w:val="10"/>
                <w:szCs w:val="10"/>
                <w:color w:val="auto"/>
              </w:rPr>
            </w:pPr>
          </w:p>
        </w:tc>
        <w:tc>
          <w:tcPr>
            <w:tcW w:w="840" w:type="dxa"/>
            <w:vAlign w:val="bottom"/>
            <w:vMerge w:val="restart"/>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Amortizable intangible assets</w:t>
            </w:r>
          </w:p>
        </w:tc>
        <w:tc>
          <w:tcPr>
            <w:tcW w:w="7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Customer relationships</w:t>
            </w:r>
          </w:p>
        </w:tc>
        <w:tc>
          <w:tcPr>
            <w:tcW w:w="740" w:type="dxa"/>
            <w:vAlign w:val="bottom"/>
          </w:tcPr>
          <w:p>
            <w:pPr>
              <w:jc w:val="right"/>
              <w:ind w:right="56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830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649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830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Non-amortizable intangible assets</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Trademarks</w:t>
            </w:r>
          </w:p>
        </w:tc>
        <w:tc>
          <w:tcPr>
            <w:tcW w:w="7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2,549</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intangible assets</w:t>
            </w:r>
          </w:p>
        </w:tc>
        <w:tc>
          <w:tcPr>
            <w:tcW w:w="7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Amortization of intangible assets in Earnings from continuing operations was $41 million for 2022, $42 million for 2021 and $43 million for 2020. As of July 31, 2022, amortizable intangible assets had a weighted-average remaining useful life of 16 years. Amortization expense for the next five years is estimated to be approximately $41 million per year.</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carrying values of indefinite-lived trademarks as of July 31, 2022 and August 1, 2021, are detailed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
        </w:trPr>
        <w:tc>
          <w:tcPr>
            <w:tcW w:w="9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9"/>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Snyder's of Hanover</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r>
      <w:tr>
        <w:trPr>
          <w:trHeight w:val="219"/>
        </w:trPr>
        <w:tc>
          <w:tcPr>
            <w:tcW w:w="99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Lance</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19"/>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Kettle Brand</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r>
      <w:tr>
        <w:trPr>
          <w:trHeight w:val="219"/>
        </w:trPr>
        <w:tc>
          <w:tcPr>
            <w:tcW w:w="99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Pace</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r>
      <w:tr>
        <w:trPr>
          <w:trHeight w:val="219"/>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Pacific Foods</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r>
      <w:tr>
        <w:trPr>
          <w:trHeight w:val="219"/>
        </w:trPr>
        <w:tc>
          <w:tcPr>
            <w:tcW w:w="994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Various other Snacks</w:t>
            </w:r>
            <w:r>
              <w:rPr>
                <w:rFonts w:ascii="Times New Roman" w:cs="Times New Roman" w:eastAsia="Times New Roman" w:hAnsi="Times New Roman"/>
                <w:sz w:val="22"/>
                <w:szCs w:val="22"/>
                <w:color w:val="auto"/>
                <w:vertAlign w:val="superscript"/>
              </w:rPr>
              <w:t>(1)</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w:t>
            </w:r>
          </w:p>
        </w:tc>
      </w:tr>
      <w:tr>
        <w:trPr>
          <w:trHeight w:val="237"/>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2,549</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w:t>
      </w:r>
    </w:p>
    <w:p>
      <w:pPr>
        <w:spacing w:after="0" w:line="6" w:lineRule="exact"/>
        <w:rPr>
          <w:sz w:val="20"/>
          <w:szCs w:val="20"/>
          <w:color w:val="auto"/>
        </w:rPr>
      </w:pPr>
    </w:p>
    <w:p>
      <w:pPr>
        <w:ind w:left="300" w:hanging="297"/>
        <w:spacing w:after="0"/>
        <w:tabs>
          <w:tab w:leader="none" w:pos="300"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Associated with the acquisition of Snyder's-Lance, Inc. (Snyder's-Lance).</w:t>
      </w:r>
    </w:p>
    <w:p>
      <w:pPr>
        <w:spacing w:after="0" w:line="99"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 xml:space="preserve">As of the 2022 impairment testing, indefinite-lived trademarks with 10% or less of excess coverage of fair value over carrying value had an aggregate carrying value of $434 million and included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and certain other Snacks trademarks.</w:t>
      </w:r>
    </w:p>
    <w:p>
      <w:pPr>
        <w:spacing w:after="0" w:line="36"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estimates of future cash flows used in determining the fair value of goodwill and intangible assets involve significant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color w:val="auto"/>
        </w:rPr>
        <w:t>6. Segment Information</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reportable segments are as follows:</w:t>
      </w:r>
    </w:p>
    <w:p>
      <w:pPr>
        <w:spacing w:after="0" w:line="101" w:lineRule="exact"/>
        <w:rPr>
          <w:sz w:val="20"/>
          <w:szCs w:val="20"/>
          <w:color w:val="auto"/>
        </w:rPr>
      </w:pPr>
    </w:p>
    <w:p>
      <w:pPr>
        <w:jc w:val="both"/>
        <w:ind w:left="620" w:hanging="308"/>
        <w:spacing w:after="0" w:line="261" w:lineRule="auto"/>
        <w:tabs>
          <w:tab w:leader="none" w:pos="6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Meals &amp; Beverages, which consists of our soup, simple meals and beverages products in retail and foodservice in the U.S. and Canada. The segment includes the following products: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condensed and ready-to-serve soups; </w:t>
      </w:r>
      <w:r>
        <w:rPr>
          <w:rFonts w:ascii="Times New Roman" w:cs="Times New Roman" w:eastAsia="Times New Roman" w:hAnsi="Times New Roman"/>
          <w:sz w:val="17"/>
          <w:szCs w:val="17"/>
          <w:i w:val="1"/>
          <w:iCs w:val="1"/>
          <w:color w:val="auto"/>
        </w:rPr>
        <w:t>Swanson</w:t>
      </w:r>
      <w:r>
        <w:rPr>
          <w:rFonts w:ascii="Times New Roman" w:cs="Times New Roman" w:eastAsia="Times New Roman" w:hAnsi="Times New Roman"/>
          <w:sz w:val="17"/>
          <w:szCs w:val="17"/>
          <w:color w:val="auto"/>
        </w:rPr>
        <w:t xml:space="preserve"> broth and stocks;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broth, soups and non-dairy beverages; </w:t>
      </w:r>
      <w:r>
        <w:rPr>
          <w:rFonts w:ascii="Times New Roman" w:cs="Times New Roman" w:eastAsia="Times New Roman" w:hAnsi="Times New Roman"/>
          <w:sz w:val="17"/>
          <w:szCs w:val="17"/>
          <w:i w:val="1"/>
          <w:iCs w:val="1"/>
          <w:color w:val="auto"/>
        </w:rPr>
        <w:t>Prego</w:t>
      </w:r>
      <w:r>
        <w:rPr>
          <w:rFonts w:ascii="Times New Roman" w:cs="Times New Roman" w:eastAsia="Times New Roman" w:hAnsi="Times New Roman"/>
          <w:sz w:val="17"/>
          <w:szCs w:val="17"/>
          <w:color w:val="auto"/>
        </w:rPr>
        <w:t xml:space="preserve"> pasta sauces; </w:t>
      </w:r>
      <w:r>
        <w:rPr>
          <w:rFonts w:ascii="Times New Roman" w:cs="Times New Roman" w:eastAsia="Times New Roman" w:hAnsi="Times New Roman"/>
          <w:sz w:val="17"/>
          <w:szCs w:val="17"/>
          <w:i w:val="1"/>
          <w:iCs w:val="1"/>
          <w:color w:val="auto"/>
        </w:rPr>
        <w:t>Pace</w:t>
      </w:r>
      <w:r>
        <w:rPr>
          <w:rFonts w:ascii="Times New Roman" w:cs="Times New Roman" w:eastAsia="Times New Roman" w:hAnsi="Times New Roman"/>
          <w:sz w:val="17"/>
          <w:szCs w:val="17"/>
          <w:color w:val="auto"/>
        </w:rPr>
        <w:t xml:space="preserve"> Mexican sauces;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gravies, pasta, beans and dinner sauces; </w:t>
      </w:r>
      <w:r>
        <w:rPr>
          <w:rFonts w:ascii="Times New Roman" w:cs="Times New Roman" w:eastAsia="Times New Roman" w:hAnsi="Times New Roman"/>
          <w:sz w:val="17"/>
          <w:szCs w:val="17"/>
          <w:i w:val="1"/>
          <w:iCs w:val="1"/>
          <w:color w:val="auto"/>
        </w:rPr>
        <w:t>Swanson</w:t>
      </w:r>
      <w:r>
        <w:rPr>
          <w:rFonts w:ascii="Times New Roman" w:cs="Times New Roman" w:eastAsia="Times New Roman" w:hAnsi="Times New Roman"/>
          <w:sz w:val="17"/>
          <w:szCs w:val="17"/>
          <w:color w:val="auto"/>
        </w:rPr>
        <w:t xml:space="preserve"> canned poultry; </w:t>
      </w:r>
      <w:r>
        <w:rPr>
          <w:rFonts w:ascii="Times New Roman" w:cs="Times New Roman" w:eastAsia="Times New Roman" w:hAnsi="Times New Roman"/>
          <w:sz w:val="17"/>
          <w:szCs w:val="17"/>
          <w:i w:val="1"/>
          <w:iCs w:val="1"/>
          <w:color w:val="auto"/>
        </w:rPr>
        <w:t>V8</w:t>
      </w:r>
      <w:r>
        <w:rPr>
          <w:rFonts w:ascii="Times New Roman" w:cs="Times New Roman" w:eastAsia="Times New Roman" w:hAnsi="Times New Roman"/>
          <w:sz w:val="17"/>
          <w:szCs w:val="17"/>
          <w:color w:val="auto"/>
        </w:rPr>
        <w:t xml:space="preserve"> juices and beverages; and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tomato juice. The segment also includes snacking products in foodservice and Canada. The segment included the results of our Plum baby food and snacks business, which was sold on May 3, 2021; and</w:t>
      </w:r>
    </w:p>
    <w:p>
      <w:pPr>
        <w:spacing w:after="0" w:line="53" w:lineRule="exact"/>
        <w:rPr>
          <w:rFonts w:ascii="Times New Roman" w:cs="Times New Roman" w:eastAsia="Times New Roman" w:hAnsi="Times New Roman"/>
          <w:sz w:val="17"/>
          <w:szCs w:val="17"/>
          <w:color w:val="auto"/>
        </w:rPr>
      </w:pPr>
    </w:p>
    <w:p>
      <w:pPr>
        <w:jc w:val="both"/>
        <w:ind w:left="620" w:hanging="308"/>
        <w:spacing w:after="0" w:line="265" w:lineRule="auto"/>
        <w:tabs>
          <w:tab w:leader="none" w:pos="6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Snacks, which consists of Pepperidge Farm cookies*, crackers, fresh bakery and frozen products, including </w:t>
      </w:r>
      <w:r>
        <w:rPr>
          <w:rFonts w:ascii="Times New Roman" w:cs="Times New Roman" w:eastAsia="Times New Roman" w:hAnsi="Times New Roman"/>
          <w:sz w:val="17"/>
          <w:szCs w:val="17"/>
          <w:i w:val="1"/>
          <w:iCs w:val="1"/>
          <w:color w:val="auto"/>
        </w:rPr>
        <w:t>Goldfish</w:t>
      </w:r>
      <w:r>
        <w:rPr>
          <w:rFonts w:ascii="Times New Roman" w:cs="Times New Roman" w:eastAsia="Times New Roman" w:hAnsi="Times New Roman"/>
          <w:sz w:val="17"/>
          <w:szCs w:val="17"/>
          <w:color w:val="auto"/>
        </w:rPr>
        <w:t xml:space="preserve"> crackers*,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pretzels*, </w:t>
      </w:r>
      <w:r>
        <w:rPr>
          <w:rFonts w:ascii="Times New Roman" w:cs="Times New Roman" w:eastAsia="Times New Roman" w:hAnsi="Times New Roman"/>
          <w:sz w:val="17"/>
          <w:szCs w:val="17"/>
          <w:i w:val="1"/>
          <w:iCs w:val="1"/>
          <w:color w:val="auto"/>
        </w:rPr>
        <w:t>Lance</w:t>
      </w:r>
      <w:r>
        <w:rPr>
          <w:rFonts w:ascii="Times New Roman" w:cs="Times New Roman" w:eastAsia="Times New Roman" w:hAnsi="Times New Roman"/>
          <w:sz w:val="17"/>
          <w:szCs w:val="17"/>
          <w:color w:val="auto"/>
        </w:rPr>
        <w:t xml:space="preserve"> sandwich crackers*, </w:t>
      </w:r>
      <w:r>
        <w:rPr>
          <w:rFonts w:ascii="Times New Roman" w:cs="Times New Roman" w:eastAsia="Times New Roman" w:hAnsi="Times New Roman"/>
          <w:sz w:val="17"/>
          <w:szCs w:val="17"/>
          <w:i w:val="1"/>
          <w:iCs w:val="1"/>
          <w:color w:val="auto"/>
        </w:rPr>
        <w:t>Cape Cod</w:t>
      </w:r>
      <w:r>
        <w:rPr>
          <w:rFonts w:ascii="Times New Roman" w:cs="Times New Roman" w:eastAsia="Times New Roman" w:hAnsi="Times New Roman"/>
          <w:sz w:val="17"/>
          <w:szCs w:val="17"/>
          <w:color w:val="auto"/>
        </w:rPr>
        <w:t xml:space="preserve"> potato chips</w:t>
      </w:r>
      <w:r>
        <w:rPr>
          <w:rFonts w:ascii="Times New Roman" w:cs="Times New Roman" w:eastAsia="Times New Roman" w:hAnsi="Times New Roman"/>
          <w:sz w:val="17"/>
          <w:szCs w:val="17"/>
          <w:i w:val="1"/>
          <w:iCs w:val="1"/>
          <w:color w:val="auto"/>
        </w:rPr>
        <w:t>*, Kettle Brand</w:t>
      </w:r>
      <w:r>
        <w:rPr>
          <w:rFonts w:ascii="Times New Roman" w:cs="Times New Roman" w:eastAsia="Times New Roman" w:hAnsi="Times New Roman"/>
          <w:sz w:val="17"/>
          <w:szCs w:val="17"/>
          <w:color w:val="auto"/>
        </w:rPr>
        <w:t xml:space="preserve"> potato chips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Late July</w:t>
      </w:r>
      <w:r>
        <w:rPr>
          <w:rFonts w:ascii="Times New Roman" w:cs="Times New Roman" w:eastAsia="Times New Roman" w:hAnsi="Times New Roman"/>
          <w:sz w:val="17"/>
          <w:szCs w:val="17"/>
          <w:color w:val="auto"/>
        </w:rPr>
        <w:t xml:space="preserve"> snacks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Snack Factory</w:t>
      </w:r>
      <w:r>
        <w:rPr>
          <w:rFonts w:ascii="Times New Roman" w:cs="Times New Roman" w:eastAsia="Times New Roman" w:hAnsi="Times New Roman"/>
          <w:sz w:val="17"/>
          <w:szCs w:val="17"/>
          <w:color w:val="auto"/>
        </w:rPr>
        <w:t xml:space="preserve"> pretzel crisps</w:t>
      </w:r>
      <w:r>
        <w:rPr>
          <w:rFonts w:ascii="Times New Roman" w:cs="Times New Roman" w:eastAsia="Times New Roman" w:hAnsi="Times New Roman"/>
          <w:sz w:val="17"/>
          <w:szCs w:val="17"/>
          <w:i w:val="1"/>
          <w:iCs w:val="1"/>
          <w:color w:val="auto"/>
        </w:rPr>
        <w:t>*, Pop Secret</w:t>
      </w:r>
      <w:r>
        <w:rPr>
          <w:rFonts w:ascii="Times New Roman" w:cs="Times New Roman" w:eastAsia="Times New Roman" w:hAnsi="Times New Roman"/>
          <w:sz w:val="17"/>
          <w:szCs w:val="17"/>
          <w:color w:val="auto"/>
        </w:rPr>
        <w:t xml:space="preserve"> popcorn, </w:t>
      </w:r>
      <w:r>
        <w:rPr>
          <w:rFonts w:ascii="Times New Roman" w:cs="Times New Roman" w:eastAsia="Times New Roman" w:hAnsi="Times New Roman"/>
          <w:sz w:val="17"/>
          <w:szCs w:val="17"/>
          <w:i w:val="1"/>
          <w:iCs w:val="1"/>
          <w:color w:val="auto"/>
        </w:rPr>
        <w:t>Emerald</w:t>
      </w:r>
      <w:r>
        <w:rPr>
          <w:rFonts w:ascii="Times New Roman" w:cs="Times New Roman" w:eastAsia="Times New Roman" w:hAnsi="Times New Roman"/>
          <w:sz w:val="17"/>
          <w:szCs w:val="17"/>
          <w:color w:val="auto"/>
        </w:rPr>
        <w:t xml:space="preserve"> nuts, and other snacking products in retail in the U.S. Beginning in 2022, we refer to the * brands as our "power brands." The segment includes the retail business in Latin America. The segment also included the results of our European chips business, which was sold on October 11, 2019.</w:t>
      </w:r>
    </w:p>
    <w:p>
      <w:pPr>
        <w:spacing w:after="0" w:line="42"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Beginning in 2022, the foodservice and Canadian business formerly included in our Snacks segment is now managed as part of the Meals &amp; Beverages segment. Segment results have been adjusted retrospectively to reflect this change.</w:t>
      </w:r>
    </w:p>
    <w:p>
      <w:pPr>
        <w:spacing w:after="0" w:line="36"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We evaluate segment performance before interest, taxes and costs associated with restructuring activities and impairment charges. Unrealized gains and losses on outstanding undesignated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6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Our largest customer, Wal-Mart Stores, Inc. and its affiliates, accounted for approximately 22% of consolidated net sales from continuing operations in 2022, and 21% in 2021 and 2020. Both of our reportable segments sold products to Wal-Mart Stores, Inc. or its affiliates.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Meals &amp; Beverages</w:t>
            </w:r>
          </w:p>
        </w:tc>
        <w:tc>
          <w:tcPr>
            <w:tcW w:w="3460" w:type="dxa"/>
            <w:vAlign w:val="bottom"/>
            <w:gridSpan w:val="4"/>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4,607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Snacks</w:t>
            </w:r>
          </w:p>
        </w:tc>
        <w:tc>
          <w:tcPr>
            <w:tcW w:w="3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3,955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120" w:type="dxa"/>
            <w:vAlign w:val="bottom"/>
          </w:tcPr>
          <w:p>
            <w:pPr>
              <w:spacing w:after="0"/>
              <w:rPr>
                <w:sz w:val="18"/>
                <w:szCs w:val="18"/>
                <w:color w:val="auto"/>
              </w:rPr>
            </w:pPr>
          </w:p>
        </w:tc>
        <w:tc>
          <w:tcPr>
            <w:tcW w:w="34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8,562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8,476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before interest and taxes</w:t>
            </w:r>
          </w:p>
        </w:tc>
        <w:tc>
          <w:tcPr>
            <w:tcW w:w="3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Meals &amp; Beverages</w:t>
            </w:r>
          </w:p>
        </w:tc>
        <w:tc>
          <w:tcPr>
            <w:tcW w:w="3460" w:type="dxa"/>
            <w:vAlign w:val="bottom"/>
            <w:gridSpan w:val="4"/>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874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3"/>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3"/>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Snacks</w:t>
            </w:r>
          </w:p>
        </w:tc>
        <w:tc>
          <w:tcPr>
            <w:tcW w:w="3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20" w:type="dxa"/>
            <w:vAlign w:val="bottom"/>
          </w:tcPr>
          <w:p>
            <w:pPr>
              <w:ind w:left="120"/>
              <w:spacing w:after="0" w:line="219" w:lineRule="exact"/>
              <w:rPr>
                <w:sz w:val="20"/>
                <w:szCs w:val="20"/>
                <w:color w:val="auto"/>
              </w:rPr>
            </w:pPr>
            <w:r>
              <w:rPr>
                <w:rFonts w:ascii="Times New Roman" w:cs="Times New Roman" w:eastAsia="Times New Roman" w:hAnsi="Times New Roman"/>
                <w:sz w:val="17"/>
                <w:szCs w:val="17"/>
                <w:color w:val="auto"/>
              </w:rPr>
              <w:t>Corporate income (expense)</w:t>
            </w:r>
            <w:r>
              <w:rPr>
                <w:rFonts w:ascii="Times New Roman" w:cs="Times New Roman" w:eastAsia="Times New Roman" w:hAnsi="Times New Roman"/>
                <w:sz w:val="22"/>
                <w:szCs w:val="22"/>
                <w:color w:val="auto"/>
                <w:vertAlign w:val="superscript"/>
              </w:rPr>
              <w:t>(1)</w:t>
            </w:r>
          </w:p>
        </w:tc>
        <w:tc>
          <w:tcPr>
            <w:tcW w:w="3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(418)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2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2"/>
                <w:szCs w:val="22"/>
                <w:color w:val="auto"/>
                <w:vertAlign w:val="superscript"/>
              </w:rPr>
              <w:t>(2)</w:t>
            </w:r>
          </w:p>
        </w:tc>
        <w:tc>
          <w:tcPr>
            <w:tcW w:w="3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2"/>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1,163</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1,545</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1,107</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Meals &amp; Beverages</w:t>
            </w:r>
          </w:p>
        </w:tc>
        <w:tc>
          <w:tcPr>
            <w:tcW w:w="3460" w:type="dxa"/>
            <w:vAlign w:val="bottom"/>
            <w:gridSpan w:val="4"/>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3"/>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3"/>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Snacks</w:t>
            </w:r>
          </w:p>
        </w:tc>
        <w:tc>
          <w:tcPr>
            <w:tcW w:w="3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20" w:type="dxa"/>
            <w:vAlign w:val="bottom"/>
            <w:tcBorders>
              <w:bottom w:val="single" w:sz="8" w:color="CCEEFF"/>
            </w:tcBorders>
          </w:tcPr>
          <w:p>
            <w:pPr>
              <w:ind w:left="140"/>
              <w:spacing w:after="0" w:line="219" w:lineRule="exact"/>
              <w:rPr>
                <w:sz w:val="20"/>
                <w:szCs w:val="20"/>
                <w:color w:val="auto"/>
              </w:rPr>
            </w:pPr>
            <w:r>
              <w:rPr>
                <w:rFonts w:ascii="Times New Roman" w:cs="Times New Roman" w:eastAsia="Times New Roman" w:hAnsi="Times New Roman"/>
                <w:sz w:val="17"/>
                <w:szCs w:val="17"/>
                <w:color w:val="auto"/>
              </w:rPr>
              <w:t>Corporate</w:t>
            </w:r>
            <w:r>
              <w:rPr>
                <w:rFonts w:ascii="Times New Roman" w:cs="Times New Roman" w:eastAsia="Times New Roman" w:hAnsi="Times New Roman"/>
                <w:sz w:val="22"/>
                <w:szCs w:val="22"/>
                <w:color w:val="auto"/>
                <w:vertAlign w:val="superscript"/>
              </w:rPr>
              <w:t>(3)</w:t>
            </w:r>
          </w:p>
        </w:tc>
        <w:tc>
          <w:tcPr>
            <w:tcW w:w="3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140" w:type="dxa"/>
            <w:vAlign w:val="bottom"/>
            <w:tcBorders>
              <w:bottom w:val="single" w:sz="8" w:color="CCEEFF"/>
            </w:tcBorders>
            <w:gridSpan w:val="2"/>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337</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1274"/>
              <w:spacing w:after="0"/>
              <w:rPr>
                <w:sz w:val="20"/>
                <w:szCs w:val="20"/>
                <w:color w:val="auto"/>
              </w:rPr>
            </w:pPr>
            <w:r>
              <w:rPr>
                <w:rFonts w:ascii="Times New Roman" w:cs="Times New Roman" w:eastAsia="Times New Roman" w:hAnsi="Times New Roman"/>
                <w:sz w:val="17"/>
                <w:szCs w:val="17"/>
                <w:color w:val="auto"/>
              </w:rPr>
              <w:t>48</w:t>
            </w: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9A9A9A"/>
            </w:tcBorders>
          </w:tcPr>
          <w:p>
            <w:pPr>
              <w:spacing w:after="0"/>
              <w:rPr>
                <w:sz w:val="16"/>
                <w:szCs w:val="16"/>
                <w:color w:val="auto"/>
              </w:rPr>
            </w:pPr>
          </w:p>
        </w:tc>
        <w:tc>
          <w:tcPr>
            <w:tcW w:w="3920" w:type="dxa"/>
            <w:vAlign w:val="bottom"/>
            <w:tcBorders>
              <w:bottom w:val="single" w:sz="8" w:color="9A9A9A"/>
            </w:tcBorders>
          </w:tcPr>
          <w:p>
            <w:pPr>
              <w:spacing w:after="0"/>
              <w:rPr>
                <w:sz w:val="16"/>
                <w:szCs w:val="16"/>
                <w:color w:val="auto"/>
              </w:rPr>
            </w:pPr>
          </w:p>
        </w:tc>
        <w:tc>
          <w:tcPr>
            <w:tcW w:w="31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48" w:name="page49"/>
    <w:bookmarkEnd w:id="48"/>
    <w:tbl>
      <w:tblPr>
        <w:tblLayout w:type="fixed"/>
        <w:tblInd w:w="20" w:type="dxa"/>
        <w:tblCellMar>
          <w:top w:w="0" w:type="dxa"/>
          <w:left w:w="0" w:type="dxa"/>
          <w:bottom w:w="0" w:type="dxa"/>
          <w:right w:w="0" w:type="dxa"/>
        </w:tblCellMar>
      </w:tblPr>
      <w:tr>
        <w:trPr>
          <w:trHeight w:val="182"/>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9"/>
        </w:trPr>
        <w:tc>
          <w:tcPr>
            <w:tcW w:w="7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Meals &amp; Beverages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76</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Snacks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19"/>
        </w:trPr>
        <w:tc>
          <w:tcPr>
            <w:tcW w:w="7060" w:type="dxa"/>
            <w:vAlign w:val="bottom"/>
          </w:tcPr>
          <w:p>
            <w:pPr>
              <w:ind w:left="140"/>
              <w:spacing w:after="0" w:line="219" w:lineRule="exact"/>
              <w:rPr>
                <w:sz w:val="20"/>
                <w:szCs w:val="20"/>
                <w:color w:val="auto"/>
              </w:rPr>
            </w:pPr>
            <w:r>
              <w:rPr>
                <w:rFonts w:ascii="Times New Roman" w:cs="Times New Roman" w:eastAsia="Times New Roman" w:hAnsi="Times New Roman"/>
                <w:sz w:val="17"/>
                <w:szCs w:val="17"/>
                <w:color w:val="auto"/>
              </w:rPr>
              <w:t>Corporate</w:t>
            </w:r>
            <w:r>
              <w:rPr>
                <w:rFonts w:ascii="Times New Roman" w:cs="Times New Roman" w:eastAsia="Times New Roman" w:hAnsi="Times New Roman"/>
                <w:sz w:val="22"/>
                <w:szCs w:val="22"/>
                <w:color w:val="auto"/>
                <w:vertAlign w:val="superscript"/>
              </w:rPr>
              <w:t>(3)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Discontinued operations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w:t>
            </w: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w:t>
      </w:r>
    </w:p>
    <w:p>
      <w:pPr>
        <w:spacing w:after="0" w:line="62" w:lineRule="exact"/>
        <w:rPr>
          <w:sz w:val="20"/>
          <w:szCs w:val="20"/>
          <w:color w:val="auto"/>
        </w:rPr>
      </w:pPr>
    </w:p>
    <w:p>
      <w:pPr>
        <w:jc w:val="both"/>
        <w:ind w:left="320" w:hanging="317"/>
        <w:spacing w:after="0" w:line="244" w:lineRule="auto"/>
        <w:tabs>
          <w:tab w:leader="none" w:pos="308"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unallocated items. Pension and postretirement actuarial gains and losses are included in Corporate. There were actuarial losses of $44 million in 2022, gains of $203 million in 2021, and losses of $164 million in 2020, respectively. Costs related to the cost savings initiatives were $26 million, $32 million and $60 million in 2022, 2021 and 2020, respectively. Unrealized mark-to-market adjustments on outstanding undesignated commodity hedges were losses of $59 million in 2022, gains of $50 million in 2021, and gains of $2 million in 2020, respectively. A loss of $11 million on the sale of the Plum baby food and snacks business was included in 2021. A loss of $64 million on the sale of our European chips business was included in 2020. A loss of $45 million on Acre Venture Partners, L.P. (Acre) was included in 2020. See Note 14 for additional information on Acre.</w:t>
      </w:r>
    </w:p>
    <w:p>
      <w:pPr>
        <w:spacing w:after="0" w:line="2" w:lineRule="exact"/>
        <w:rPr>
          <w:rFonts w:ascii="Times New Roman" w:cs="Times New Roman" w:eastAsia="Times New Roman" w:hAnsi="Times New Roman"/>
          <w:sz w:val="22"/>
          <w:szCs w:val="22"/>
          <w:color w:val="auto"/>
          <w:vertAlign w:val="superscript"/>
        </w:rPr>
      </w:pPr>
    </w:p>
    <w:p>
      <w:pPr>
        <w:ind w:left="300" w:hanging="297"/>
        <w:spacing w:after="0" w:line="195" w:lineRule="auto"/>
        <w:tabs>
          <w:tab w:leader="none" w:pos="30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Note 7 for additional information.</w:t>
      </w:r>
    </w:p>
    <w:p>
      <w:pPr>
        <w:spacing w:after="0" w:line="1"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primarily corporate offices and enterprise-wide information technology systems.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Our net sales based on product categories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9"/>
        </w:trPr>
        <w:tc>
          <w:tcPr>
            <w:tcW w:w="7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Soup</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2,615</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2,568</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2,653</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Snacks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4,099</w:t>
            </w:r>
          </w:p>
        </w:tc>
      </w:tr>
      <w:tr>
        <w:trPr>
          <w:trHeight w:val="219"/>
        </w:trPr>
        <w:tc>
          <w:tcPr>
            <w:tcW w:w="7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simple meals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Beverages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w:t>
            </w:r>
          </w:p>
        </w:tc>
      </w:tr>
      <w:tr>
        <w:trPr>
          <w:trHeight w:val="21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8,562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8,476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8,691</w:t>
            </w: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firstLine="193"/>
        <w:spacing w:after="0" w:line="269" w:lineRule="auto"/>
        <w:rPr>
          <w:sz w:val="20"/>
          <w:szCs w:val="20"/>
          <w:color w:val="auto"/>
        </w:rPr>
      </w:pPr>
      <w:r>
        <w:rPr>
          <w:rFonts w:ascii="Times New Roman" w:cs="Times New Roman" w:eastAsia="Times New Roman" w:hAnsi="Times New Roman"/>
          <w:sz w:val="17"/>
          <w:szCs w:val="17"/>
          <w:color w:val="auto"/>
        </w:rPr>
        <w:t xml:space="preserve">Soup includes various soup, broths and stock products. Snacks include cookies, pretzels, crackers, popcorn, nuts, potato chips, tortilla chips and other salty snacks and baked products. Other simple meals include sauces, gravies, pasta, beans, canned poultry and Plum products through May 3, 2021, when the business was sold. Beverages include </w:t>
      </w:r>
      <w:r>
        <w:rPr>
          <w:rFonts w:ascii="Times New Roman" w:cs="Times New Roman" w:eastAsia="Times New Roman" w:hAnsi="Times New Roman"/>
          <w:sz w:val="17"/>
          <w:szCs w:val="17"/>
          <w:i w:val="1"/>
          <w:iCs w:val="1"/>
          <w:color w:val="auto"/>
        </w:rPr>
        <w:t>V8</w:t>
      </w:r>
      <w:r>
        <w:rPr>
          <w:rFonts w:ascii="Times New Roman" w:cs="Times New Roman" w:eastAsia="Times New Roman" w:hAnsi="Times New Roman"/>
          <w:sz w:val="17"/>
          <w:szCs w:val="17"/>
          <w:color w:val="auto"/>
        </w:rPr>
        <w:t xml:space="preserve"> juices and beverages,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tomato juice and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non-dairy beverages.</w:t>
      </w:r>
    </w:p>
    <w:p>
      <w:pPr>
        <w:spacing w:after="0" w:line="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We are a North American focused company with over 90% of our net sales and long-lived assets related to our U.S.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Restructuring Charges and Cost Savings Initiatives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Multi-year Cost Savings Initiatives and Snyder's-Lance Cost Transformation Program and Integration</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Beginning in fiscal 2015, we implemented initiatives to reduce costs and to streamline our organizational structure.</w:t>
      </w:r>
    </w:p>
    <w:p>
      <w:pPr>
        <w:spacing w:after="0" w:line="10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Over the years, we expanded these initiatives by continuing to optimize our supply chain and manufacturing networks, including closing our manufacturing facility in Toronto, Ontario, as well as our information technology infrastructure.</w:t>
      </w:r>
    </w:p>
    <w:p>
      <w:pPr>
        <w:spacing w:after="0" w:line="23"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49" w:name="page50"/>
    <w:bookmarkEnd w:id="49"/>
    <w:p>
      <w:pPr>
        <w:ind w:left="320"/>
        <w:spacing w:after="0"/>
        <w:rPr>
          <w:sz w:val="20"/>
          <w:szCs w:val="20"/>
          <w:color w:val="auto"/>
        </w:rPr>
      </w:pPr>
      <w:r>
        <w:rPr>
          <w:rFonts w:ascii="Times New Roman" w:cs="Times New Roman" w:eastAsia="Times New Roman" w:hAnsi="Times New Roman"/>
          <w:sz w:val="17"/>
          <w:szCs w:val="17"/>
          <w:color w:val="auto"/>
        </w:rPr>
        <w:t>In 2022, we expanded these initiatives as we continue to pursue cost savings by further optimizing our supply chain and manufacturing network and through</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92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effective cost management. Cost estimates for these expanded initiatives, as well as timing for certain activities, are continuing to be developed.</w:t>
            </w: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34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  summary  of  the  pre-tax  charges</w:t>
            </w:r>
          </w:p>
        </w:tc>
        <w:tc>
          <w:tcPr>
            <w:tcW w:w="24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recorded  in  Earnings  from</w:t>
            </w: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continuing</w:t>
            </w:r>
          </w:p>
        </w:tc>
        <w:tc>
          <w:tcPr>
            <w:tcW w:w="92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operations</w:t>
            </w:r>
          </w:p>
        </w:tc>
        <w:tc>
          <w:tcPr>
            <w:tcW w:w="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related</w:t>
            </w:r>
          </w:p>
        </w:tc>
        <w:tc>
          <w:tcPr>
            <w:tcW w:w="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these  initiatives</w:t>
            </w: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is  as  follows:</w:t>
            </w:r>
          </w:p>
        </w:tc>
        <w:tc>
          <w:tcPr>
            <w:tcW w:w="0" w:type="dxa"/>
            <w:vAlign w:val="bottom"/>
          </w:tcPr>
          <w:p>
            <w:pPr>
              <w:spacing w:after="0"/>
              <w:rPr>
                <w:sz w:val="1"/>
                <w:szCs w:val="1"/>
                <w:color w:val="auto"/>
              </w:rPr>
            </w:pPr>
          </w:p>
        </w:tc>
      </w:tr>
      <w:tr>
        <w:trPr>
          <w:trHeight w:val="155"/>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w w:val="96"/>
              </w:rPr>
              <w:t>Recognized as of</w:t>
            </w:r>
          </w:p>
        </w:tc>
        <w:tc>
          <w:tcPr>
            <w:tcW w:w="0" w:type="dxa"/>
            <w:vAlign w:val="bottom"/>
          </w:tcPr>
          <w:p>
            <w:pPr>
              <w:spacing w:after="0"/>
              <w:rPr>
                <w:sz w:val="1"/>
                <w:szCs w:val="1"/>
                <w:color w:val="auto"/>
              </w:rPr>
            </w:pPr>
          </w:p>
        </w:tc>
      </w:tr>
      <w:tr>
        <w:trPr>
          <w:trHeight w:val="187"/>
        </w:trPr>
        <w:tc>
          <w:tcPr>
            <w:tcW w:w="3420" w:type="dxa"/>
            <w:vAlign w:val="bottom"/>
            <w:vMerge w:val="continue"/>
          </w:tcPr>
          <w:p>
            <w:pPr>
              <w:spacing w:after="0"/>
              <w:rPr>
                <w:sz w:val="16"/>
                <w:szCs w:val="16"/>
                <w:color w:val="auto"/>
              </w:rPr>
            </w:pP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July 31, 2022</w:t>
            </w:r>
          </w:p>
        </w:tc>
        <w:tc>
          <w:tcPr>
            <w:tcW w:w="0" w:type="dxa"/>
            <w:vAlign w:val="bottom"/>
          </w:tcPr>
          <w:p>
            <w:pPr>
              <w:spacing w:after="0"/>
              <w:rPr>
                <w:sz w:val="1"/>
                <w:szCs w:val="1"/>
                <w:color w:val="auto"/>
              </w:rPr>
            </w:pPr>
          </w:p>
        </w:tc>
      </w:tr>
      <w:tr>
        <w:trPr>
          <w:trHeight w:val="217"/>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charges</w:t>
            </w:r>
          </w:p>
        </w:tc>
        <w:tc>
          <w:tcPr>
            <w:tcW w:w="20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Administrative expenses</w:t>
            </w: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products sold</w:t>
            </w: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Marketing and selling expenses</w:t>
            </w: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pre-tax charges</w:t>
            </w:r>
          </w:p>
        </w:tc>
        <w:tc>
          <w:tcPr>
            <w:tcW w:w="20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8340" w:type="dxa"/>
            <w:vAlign w:val="bottom"/>
            <w:gridSpan w:val="8"/>
          </w:tcPr>
          <w:p>
            <w:pPr>
              <w:ind w:left="320"/>
              <w:spacing w:after="0"/>
              <w:rPr>
                <w:sz w:val="20"/>
                <w:szCs w:val="20"/>
                <w:color w:val="auto"/>
              </w:rPr>
            </w:pPr>
            <w:r>
              <w:rPr>
                <w:rFonts w:ascii="Times New Roman" w:cs="Times New Roman" w:eastAsia="Times New Roman" w:hAnsi="Times New Roman"/>
                <w:sz w:val="17"/>
                <w:szCs w:val="17"/>
                <w:color w:val="auto"/>
              </w:rPr>
              <w:t>A summary of the pre-tax costs in Earnings from continuing operations associated with the initiatives is as follows: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40"/>
              <w:spacing w:after="0" w:line="154" w:lineRule="exact"/>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88"/>
        </w:trPr>
        <w:tc>
          <w:tcPr>
            <w:tcW w:w="3420" w:type="dxa"/>
            <w:vAlign w:val="bottom"/>
            <w:vMerge w:val="continue"/>
          </w:tcPr>
          <w:p>
            <w:pPr>
              <w:spacing w:after="0"/>
              <w:rPr>
                <w:sz w:val="16"/>
                <w:szCs w:val="16"/>
                <w:color w:val="auto"/>
              </w:rPr>
            </w:pP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0" w:type="dxa"/>
            <w:vAlign w:val="bottom"/>
          </w:tcPr>
          <w:p>
            <w:pPr>
              <w:spacing w:after="0"/>
              <w:rPr>
                <w:sz w:val="1"/>
                <w:szCs w:val="1"/>
                <w:color w:val="auto"/>
              </w:rPr>
            </w:pPr>
          </w:p>
        </w:tc>
      </w:tr>
      <w:tr>
        <w:trPr>
          <w:trHeight w:val="217"/>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Severance pay and benefits</w:t>
            </w:r>
          </w:p>
        </w:tc>
        <w:tc>
          <w:tcPr>
            <w:tcW w:w="20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 impairment/accelerated depreciation</w:t>
            </w: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Implementation costs and other related costs</w:t>
            </w: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total estimated pre-tax costs for actions associated with continuing operations that have been identified are approximately $735 million to $740 million and we expect to incur the costs through 2023. These estimates will be updated as the expanded initiatives are developed.</w:t>
      </w:r>
    </w:p>
    <w:p>
      <w:pPr>
        <w:spacing w:after="0" w:line="36"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expect the costs for actions associated with continuing operations that have been identified to date to consist of the following: approximately $230 million in severance pay and benefits; approximately $85 million in asset impairment and accelerated depreciation; and approximately $420 million to $425 million in implementation costs and other related costs. We expect these pre-tax costs to be associated with our segments as follows: Meals &amp; Beverages - approximately 31%; Snacks - approximately 44%; and Corporate - approximately 25%.</w:t>
      </w:r>
    </w:p>
    <w:p>
      <w:pPr>
        <w:spacing w:after="0" w:line="54"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Of the aggregate $735 million to $740 million of pre-tax costs associated with continuing operations identified to date, we expect approximately $635 million to $640 million will be cash expenditures. In addition, we expect to invest approximately $445 million in capital expenditures through 2023, of which we invested $440 million as of July 31, 2022. The capital expenditures primarily relate to a U.S. warehouse optimization project, improvement of quality, safety and cost structure across the Snyder’s-Lance manufacturing network, implementation of our existing SAP enterprise-resource planning system for Snyder's-Lance, transition of production of the Toronto manufacturing facility to our U.S. thermal plants, optimization of information technology infrastructure and applications and optimization of the Snyder’s-Lance warehouse and distribution network.</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  summary  of  the  restructuring</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activity  and  related  reserves</w:t>
            </w:r>
          </w:p>
        </w:tc>
        <w:tc>
          <w:tcPr>
            <w:tcW w:w="2300" w:type="dxa"/>
            <w:vAlign w:val="bottom"/>
            <w:gridSpan w:val="3"/>
          </w:tcPr>
          <w:p>
            <w:pPr>
              <w:jc w:val="right"/>
              <w:ind w:right="51"/>
              <w:spacing w:after="0"/>
              <w:rPr>
                <w:sz w:val="20"/>
                <w:szCs w:val="20"/>
                <w:color w:val="auto"/>
              </w:rPr>
            </w:pPr>
            <w:r>
              <w:rPr>
                <w:rFonts w:ascii="Times New Roman" w:cs="Times New Roman" w:eastAsia="Times New Roman" w:hAnsi="Times New Roman"/>
                <w:sz w:val="17"/>
                <w:szCs w:val="17"/>
                <w:color w:val="auto"/>
              </w:rPr>
              <w:t>associated  with  continuing</w:t>
            </w:r>
          </w:p>
        </w:tc>
        <w:tc>
          <w:tcPr>
            <w:tcW w:w="1600" w:type="dxa"/>
            <w:vAlign w:val="bottom"/>
            <w:gridSpan w:val="2"/>
          </w:tcPr>
          <w:p>
            <w:pPr>
              <w:jc w:val="right"/>
              <w:ind w:right="87"/>
              <w:spacing w:after="0"/>
              <w:rPr>
                <w:sz w:val="20"/>
                <w:szCs w:val="20"/>
                <w:color w:val="auto"/>
              </w:rPr>
            </w:pPr>
            <w:r>
              <w:rPr>
                <w:rFonts w:ascii="Times New Roman" w:cs="Times New Roman" w:eastAsia="Times New Roman" w:hAnsi="Times New Roman"/>
                <w:sz w:val="17"/>
                <w:szCs w:val="17"/>
                <w:color w:val="auto"/>
              </w:rPr>
              <w:t>operations  at  July</w:t>
            </w:r>
          </w:p>
        </w:tc>
        <w:tc>
          <w:tcPr>
            <w:tcW w:w="20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31,  2022,  is  as  follows:</w:t>
            </w:r>
          </w:p>
        </w:tc>
        <w:tc>
          <w:tcPr>
            <w:tcW w:w="0" w:type="dxa"/>
            <w:vAlign w:val="bottom"/>
          </w:tcPr>
          <w:p>
            <w:pPr>
              <w:spacing w:after="0"/>
              <w:rPr>
                <w:sz w:val="1"/>
                <w:szCs w:val="1"/>
                <w:color w:val="auto"/>
              </w:rPr>
            </w:pPr>
          </w:p>
        </w:tc>
      </w:tr>
      <w:tr>
        <w:trPr>
          <w:trHeight w:val="155"/>
        </w:trPr>
        <w:tc>
          <w:tcPr>
            <w:tcW w:w="29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Severance Pay</w:t>
            </w:r>
          </w:p>
        </w:tc>
        <w:tc>
          <w:tcPr>
            <w:tcW w:w="120" w:type="dxa"/>
            <w:vAlign w:val="bottom"/>
          </w:tcPr>
          <w:p>
            <w:pPr>
              <w:spacing w:after="0"/>
              <w:rPr>
                <w:sz w:val="13"/>
                <w:szCs w:val="13"/>
                <w:color w:val="auto"/>
              </w:rPr>
            </w:pPr>
          </w:p>
        </w:tc>
        <w:tc>
          <w:tcPr>
            <w:tcW w:w="1300" w:type="dxa"/>
            <w:vAlign w:val="bottom"/>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Implementation</w:t>
            </w:r>
          </w:p>
        </w:tc>
        <w:tc>
          <w:tcPr>
            <w:tcW w:w="100" w:type="dxa"/>
            <w:vAlign w:val="bottom"/>
          </w:tcPr>
          <w:p>
            <w:pPr>
              <w:spacing w:after="0"/>
              <w:rPr>
                <w:sz w:val="13"/>
                <w:szCs w:val="13"/>
                <w:color w:val="auto"/>
              </w:rPr>
            </w:pPr>
          </w:p>
        </w:tc>
        <w:tc>
          <w:tcPr>
            <w:tcW w:w="15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3"/>
              </w:rPr>
              <w:t>Asset</w:t>
            </w:r>
          </w:p>
        </w:tc>
        <w:tc>
          <w:tcPr>
            <w:tcW w:w="100" w:type="dxa"/>
            <w:vAlign w:val="bottom"/>
          </w:tcPr>
          <w:p>
            <w:pPr>
              <w:spacing w:after="0"/>
              <w:rPr>
                <w:sz w:val="13"/>
                <w:szCs w:val="13"/>
                <w:color w:val="auto"/>
              </w:rPr>
            </w:pPr>
          </w:p>
        </w:tc>
        <w:tc>
          <w:tcPr>
            <w:tcW w:w="98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w w:val="98"/>
              </w:rPr>
              <w:t>Other Non-</w:t>
            </w: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ind w:left="160"/>
              <w:spacing w:after="0" w:line="141" w:lineRule="exact"/>
              <w:rPr>
                <w:sz w:val="20"/>
                <w:szCs w:val="20"/>
                <w:color w:val="auto"/>
              </w:rPr>
            </w:pPr>
            <w:r>
              <w:rPr>
                <w:rFonts w:ascii="Times New Roman" w:cs="Times New Roman" w:eastAsia="Times New Roman" w:hAnsi="Times New Roman"/>
                <w:sz w:val="14"/>
                <w:szCs w:val="14"/>
                <w:b w:val="1"/>
                <w:bCs w:val="1"/>
                <w:color w:val="auto"/>
              </w:rPr>
              <w:t>Costs and Other</w:t>
            </w:r>
          </w:p>
        </w:tc>
        <w:tc>
          <w:tcPr>
            <w:tcW w:w="100" w:type="dxa"/>
            <w:vAlign w:val="bottom"/>
          </w:tcPr>
          <w:p>
            <w:pPr>
              <w:spacing w:after="0"/>
              <w:rPr>
                <w:sz w:val="12"/>
                <w:szCs w:val="12"/>
                <w:color w:val="auto"/>
              </w:rPr>
            </w:pPr>
          </w:p>
        </w:tc>
        <w:tc>
          <w:tcPr>
            <w:tcW w:w="15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Impairment/Accelerated</w:t>
            </w:r>
          </w:p>
        </w:tc>
        <w:tc>
          <w:tcPr>
            <w:tcW w:w="100" w:type="dxa"/>
            <w:vAlign w:val="bottom"/>
          </w:tcPr>
          <w:p>
            <w:pPr>
              <w:spacing w:after="0"/>
              <w:rPr>
                <w:sz w:val="12"/>
                <w:szCs w:val="12"/>
                <w:color w:val="auto"/>
              </w:rPr>
            </w:pPr>
          </w:p>
        </w:tc>
        <w:tc>
          <w:tcPr>
            <w:tcW w:w="9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Cash Exit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Charges</w:t>
            </w:r>
          </w:p>
        </w:tc>
        <w:tc>
          <w:tcPr>
            <w:tcW w:w="0" w:type="dxa"/>
            <w:vAlign w:val="bottom"/>
          </w:tcPr>
          <w:p>
            <w:pPr>
              <w:spacing w:after="0"/>
              <w:rPr>
                <w:sz w:val="1"/>
                <w:szCs w:val="1"/>
                <w:color w:val="auto"/>
              </w:rPr>
            </w:pPr>
          </w:p>
        </w:tc>
      </w:tr>
      <w:tr>
        <w:trPr>
          <w:trHeight w:val="193"/>
        </w:trPr>
        <w:tc>
          <w:tcPr>
            <w:tcW w:w="2980" w:type="dxa"/>
            <w:vAlign w:val="bottom"/>
            <w:vMerge w:val="continue"/>
          </w:tcPr>
          <w:p>
            <w:pPr>
              <w:spacing w:after="0"/>
              <w:rPr>
                <w:sz w:val="16"/>
                <w:szCs w:val="16"/>
                <w:color w:val="auto"/>
              </w:rPr>
            </w:pPr>
          </w:p>
        </w:tc>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6"/>
              </w:rPr>
              <w:t>and Benefits</w:t>
            </w:r>
          </w:p>
        </w:tc>
        <w:tc>
          <w:tcPr>
            <w:tcW w:w="120" w:type="dxa"/>
            <w:vAlign w:val="bottom"/>
          </w:tcPr>
          <w:p>
            <w:pPr>
              <w:spacing w:after="0"/>
              <w:rPr>
                <w:sz w:val="16"/>
                <w:szCs w:val="16"/>
                <w:color w:val="auto"/>
              </w:rPr>
            </w:pPr>
          </w:p>
        </w:tc>
        <w:tc>
          <w:tcPr>
            <w:tcW w:w="1300" w:type="dxa"/>
            <w:vAlign w:val="bottom"/>
          </w:tcPr>
          <w:p>
            <w:pPr>
              <w:ind w:left="200"/>
              <w:spacing w:after="0" w:line="194" w:lineRule="exact"/>
              <w:rPr>
                <w:sz w:val="20"/>
                <w:szCs w:val="20"/>
                <w:color w:val="auto"/>
              </w:rPr>
            </w:pPr>
            <w:r>
              <w:rPr>
                <w:rFonts w:ascii="Times New Roman" w:cs="Times New Roman" w:eastAsia="Times New Roman" w:hAnsi="Times New Roman"/>
                <w:sz w:val="14"/>
                <w:szCs w:val="14"/>
                <w:b w:val="1"/>
                <w:bCs w:val="1"/>
                <w:color w:val="auto"/>
              </w:rPr>
              <w:t>Related Costs</w:t>
            </w:r>
            <w:r>
              <w:rPr>
                <w:rFonts w:ascii="Times New Roman" w:cs="Times New Roman" w:eastAsia="Times New Roman" w:hAnsi="Times New Roman"/>
                <w:sz w:val="17"/>
                <w:szCs w:val="17"/>
                <w:b w:val="1"/>
                <w:bCs w:val="1"/>
                <w:color w:val="auto"/>
                <w:vertAlign w:val="superscript"/>
              </w:rPr>
              <w:t>(3)</w:t>
            </w:r>
          </w:p>
        </w:tc>
        <w:tc>
          <w:tcPr>
            <w:tcW w:w="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Depreciation</w:t>
            </w:r>
          </w:p>
        </w:tc>
        <w:tc>
          <w:tcPr>
            <w:tcW w:w="100" w:type="dxa"/>
            <w:vAlign w:val="bottom"/>
          </w:tcPr>
          <w:p>
            <w:pPr>
              <w:spacing w:after="0"/>
              <w:rPr>
                <w:sz w:val="16"/>
                <w:szCs w:val="16"/>
                <w:color w:val="auto"/>
              </w:rPr>
            </w:pPr>
          </w:p>
        </w:tc>
        <w:tc>
          <w:tcPr>
            <w:tcW w:w="98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4"/>
                <w:szCs w:val="14"/>
                <w:b w:val="1"/>
                <w:bCs w:val="1"/>
                <w:color w:val="auto"/>
                <w:w w:val="91"/>
              </w:rPr>
              <w:t>Costs</w:t>
            </w:r>
            <w:r>
              <w:rPr>
                <w:rFonts w:ascii="Times New Roman" w:cs="Times New Roman" w:eastAsia="Times New Roman" w:hAnsi="Times New Roman"/>
                <w:sz w:val="17"/>
                <w:szCs w:val="17"/>
                <w:b w:val="1"/>
                <w:bCs w:val="1"/>
                <w:color w:val="auto"/>
                <w:w w:val="91"/>
                <w:vertAlign w:val="superscript"/>
              </w:rPr>
              <w:t>(4)</w:t>
            </w: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980" w:type="dxa"/>
            <w:vAlign w:val="bottom"/>
            <w:tcBorders>
              <w:top w:val="single" w:sz="8" w:color="CCEEFF"/>
            </w:tcBorders>
            <w:shd w:val="clear" w:color="auto" w:fill="CCEEFF"/>
          </w:tcPr>
          <w:p>
            <w:pPr>
              <w:ind w:left="20"/>
              <w:spacing w:after="0" w:line="211" w:lineRule="exact"/>
              <w:rPr>
                <w:sz w:val="20"/>
                <w:szCs w:val="20"/>
                <w:color w:val="auto"/>
              </w:rPr>
            </w:pPr>
            <w:r>
              <w:rPr>
                <w:rFonts w:ascii="Times New Roman" w:cs="Times New Roman" w:eastAsia="Times New Roman" w:hAnsi="Times New Roman"/>
                <w:sz w:val="17"/>
                <w:szCs w:val="17"/>
                <w:color w:val="auto"/>
              </w:rPr>
              <w:t>Accrued balance at August 2, 2020</w:t>
            </w:r>
            <w:r>
              <w:rPr>
                <w:rFonts w:ascii="Times New Roman" w:cs="Times New Roman" w:eastAsia="Times New Roman" w:hAnsi="Times New Roman"/>
                <w:sz w:val="22"/>
                <w:szCs w:val="22"/>
                <w:color w:val="auto"/>
                <w:vertAlign w:val="superscript"/>
              </w:rPr>
              <w:t>(1)</w:t>
            </w:r>
          </w:p>
        </w:tc>
        <w:tc>
          <w:tcPr>
            <w:tcW w:w="2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2021 charges</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600" w:type="dxa"/>
            <w:vAlign w:val="bottom"/>
            <w:gridSpan w:val="2"/>
          </w:tcPr>
          <w:p>
            <w:pPr>
              <w:jc w:val="right"/>
              <w:ind w:right="7"/>
              <w:spacing w:after="0"/>
              <w:rPr>
                <w:sz w:val="20"/>
                <w:szCs w:val="20"/>
                <w:color w:val="auto"/>
              </w:rPr>
            </w:pPr>
            <w:r>
              <w:rPr>
                <w:rFonts w:ascii="Times New Roman" w:cs="Times New Roman" w:eastAsia="Times New Roman" w:hAnsi="Times New Roman"/>
                <w:sz w:val="17"/>
                <w:szCs w:val="17"/>
                <w:color w:val="auto"/>
              </w:rPr>
              <w:t>15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400" w:type="dxa"/>
            <w:vAlign w:val="bottom"/>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2021 cash payments</w:t>
            </w:r>
          </w:p>
        </w:tc>
        <w:tc>
          <w:tcPr>
            <w:tcW w:w="2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80" w:type="dxa"/>
            <w:vAlign w:val="bottom"/>
          </w:tcPr>
          <w:p>
            <w:pPr>
              <w:ind w:left="20"/>
              <w:spacing w:after="0" w:line="211" w:lineRule="exact"/>
              <w:rPr>
                <w:sz w:val="20"/>
                <w:szCs w:val="20"/>
                <w:color w:val="auto"/>
              </w:rPr>
            </w:pPr>
            <w:r>
              <w:rPr>
                <w:rFonts w:ascii="Times New Roman" w:cs="Times New Roman" w:eastAsia="Times New Roman" w:hAnsi="Times New Roman"/>
                <w:sz w:val="17"/>
                <w:szCs w:val="17"/>
                <w:color w:val="auto"/>
              </w:rPr>
              <w:t>Accrued balance at August 1, 2021</w:t>
            </w:r>
            <w:r>
              <w:rPr>
                <w:rFonts w:ascii="Times New Roman" w:cs="Times New Roman" w:eastAsia="Times New Roman" w:hAnsi="Times New Roman"/>
                <w:sz w:val="22"/>
                <w:szCs w:val="22"/>
                <w:color w:val="auto"/>
                <w:vertAlign w:val="superscript"/>
              </w:rPr>
              <w:t>(2)</w:t>
            </w:r>
          </w:p>
        </w:tc>
        <w:tc>
          <w:tcPr>
            <w:tcW w:w="2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2022 charges</w:t>
            </w:r>
          </w:p>
        </w:tc>
        <w:tc>
          <w:tcPr>
            <w:tcW w:w="2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w:t>
            </w:r>
          </w:p>
        </w:tc>
        <w:tc>
          <w:tcPr>
            <w:tcW w:w="0" w:type="dxa"/>
            <w:vAlign w:val="bottom"/>
          </w:tcPr>
          <w:p>
            <w:pPr>
              <w:spacing w:after="0"/>
              <w:rPr>
                <w:sz w:val="1"/>
                <w:szCs w:val="1"/>
                <w:color w:val="auto"/>
              </w:rPr>
            </w:pPr>
          </w:p>
        </w:tc>
      </w:tr>
      <w:tr>
        <w:trPr>
          <w:trHeight w:val="219"/>
        </w:trPr>
        <w:tc>
          <w:tcPr>
            <w:tcW w:w="2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2022 cash payments</w:t>
            </w:r>
          </w:p>
        </w:tc>
        <w:tc>
          <w:tcPr>
            <w:tcW w:w="2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at July 31, 2022</w:t>
            </w:r>
          </w:p>
        </w:tc>
        <w:tc>
          <w:tcPr>
            <w:tcW w:w="2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w:t>
      </w:r>
    </w:p>
    <w:p>
      <w:pPr>
        <w:spacing w:after="0" w:line="32" w:lineRule="exact"/>
        <w:rPr>
          <w:sz w:val="20"/>
          <w:szCs w:val="20"/>
          <w:color w:val="auto"/>
        </w:rPr>
      </w:pPr>
    </w:p>
    <w:p>
      <w:pPr>
        <w:ind w:left="300" w:hanging="297"/>
        <w:spacing w:after="0"/>
        <w:tabs>
          <w:tab w:leader="none" w:pos="300"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$3 million of severance pay and benefits recorded in Other liabilities in the Consolidated Balance Sheet.</w:t>
      </w:r>
    </w:p>
    <w:p>
      <w:pPr>
        <w:spacing w:after="0" w:line="52"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$1 million of severance pay and benefits recorded in Other liabilities in the Consolidated Balance Sheet.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50" w:name="page51"/>
    <w:bookmarkEnd w:id="50"/>
    <w:p>
      <w:pPr>
        <w:ind w:left="320" w:hanging="317"/>
        <w:spacing w:after="0" w:line="229" w:lineRule="auto"/>
        <w:tabs>
          <w:tab w:leader="none" w:pos="308"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other costs recognized as incurred that are not reflected in the restructuring reserve in the Consolidated Balance Sheet. The costs are included in Administrative expenses, Cost of products sold and Marketing and selling expenses in the Consolidated Statements of Earnings.</w:t>
      </w:r>
    </w:p>
    <w:p>
      <w:pPr>
        <w:spacing w:after="0" w:line="5"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non-cash costs that are not reflected in the restructuring reserve in the Consolidated Balance Sheet.</w:t>
      </w:r>
    </w:p>
    <w:p>
      <w:pPr>
        <w:spacing w:after="0" w:line="67" w:lineRule="exact"/>
        <w:rPr>
          <w:sz w:val="20"/>
          <w:szCs w:val="20"/>
          <w:color w:val="auto"/>
        </w:rPr>
      </w:pPr>
    </w:p>
    <w:p>
      <w:pPr>
        <w:jc w:val="both"/>
        <w:ind w:firstLine="309"/>
        <w:spacing w:after="0" w:line="278" w:lineRule="auto"/>
        <w:rPr>
          <w:sz w:val="20"/>
          <w:szCs w:val="20"/>
          <w:color w:val="auto"/>
        </w:rPr>
      </w:pPr>
      <w:r>
        <w:rPr>
          <w:rFonts w:ascii="Times New Roman" w:cs="Times New Roman" w:eastAsia="Times New Roman" w:hAnsi="Times New Roman"/>
          <w:sz w:val="17"/>
          <w:szCs w:val="17"/>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5"/>
                <w:szCs w:val="15"/>
                <w:color w:val="auto"/>
              </w:rPr>
            </w:pPr>
          </w:p>
        </w:tc>
        <w:tc>
          <w:tcPr>
            <w:tcW w:w="118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52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Costs Incurred to Date</w:t>
            </w:r>
          </w:p>
        </w:tc>
      </w:tr>
      <w:tr>
        <w:trPr>
          <w:trHeight w:val="22"/>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Meals &amp; Beverages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r>
      <w:tr>
        <w:trPr>
          <w:trHeight w:val="21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Snacks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r>
      <w:tr>
        <w:trPr>
          <w:trHeight w:val="212"/>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 addition, in the second quarter of 2021, we recorded a $19 million deferred tax charge in connection with a legal entity reorganization as part of the continued integration of Snyder's-Lance.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Earnings per Share (EPS)</w:t>
      </w:r>
    </w:p>
    <w:p>
      <w:pPr>
        <w:spacing w:after="0" w:line="105" w:lineRule="exact"/>
        <w:rPr>
          <w:sz w:val="20"/>
          <w:szCs w:val="20"/>
          <w:color w:val="auto"/>
        </w:rPr>
      </w:pPr>
    </w:p>
    <w:p>
      <w:pPr>
        <w:jc w:val="both"/>
        <w:ind w:firstLine="309"/>
        <w:spacing w:after="0" w:line="267" w:lineRule="auto"/>
        <w:rPr>
          <w:sz w:val="20"/>
          <w:szCs w:val="20"/>
          <w:color w:val="auto"/>
        </w:rPr>
      </w:pPr>
      <w:r>
        <w:rPr>
          <w:rFonts w:ascii="Times New Roman" w:cs="Times New Roman" w:eastAsia="Times New Roman" w:hAnsi="Times New Roman"/>
          <w:sz w:val="17"/>
          <w:szCs w:val="17"/>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2022, 2021 and 2020 excludes approximately 1 million stock options that would have been antidilutive.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Pension and Postretirement Benefits</w:t>
      </w:r>
    </w:p>
    <w:p>
      <w:pPr>
        <w:spacing w:after="0" w:line="101"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Pension Benefits — </w:t>
      </w:r>
      <w:r>
        <w:rPr>
          <w:rFonts w:ascii="Times New Roman" w:cs="Times New Roman" w:eastAsia="Times New Roman" w:hAnsi="Times New Roman"/>
          <w:sz w:val="17"/>
          <w:szCs w:val="17"/>
          <w:color w:val="auto"/>
        </w:rPr>
        <w:t>We sponsor a number of noncontributory defined benefit pension plans to provide retirement benefits to eligible U.S. and non-U.S.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employees. The benefits provided under these plans are based primarily on years of service and compensation levels. Benefits are paid from funds previously provided to trustees or are paid directly by us from general funds. In 1999, we implemented significant amendments to certain U.S. pension plans. Under a new formula, retirement benefits are determined based on percentages of annual pay and age. To minimize the impact of converting to the new formula, service and earnings credit continued to accrue for fifteen years for certain active employees participating in the plans under the old formula prior to the amendments. Employees will receive the benefit from either the new or old formula, whichever is higher. Effective as of January 1, 2011, our U.S. pension plans were amended so that employees hired or rehired on or after that date and who are not covered by collective bargaining agreements will not be eligible to participate in the plans. All collective bargaining units adopted this amendment by December 31, 2011.</w:t>
      </w:r>
    </w:p>
    <w:p>
      <w:pPr>
        <w:spacing w:after="0" w:line="57"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Postretirement Benefits — </w:t>
      </w:r>
      <w:r>
        <w:rPr>
          <w:rFonts w:ascii="Times New Roman" w:cs="Times New Roman" w:eastAsia="Times New Roman" w:hAnsi="Times New Roman"/>
          <w:sz w:val="17"/>
          <w:szCs w:val="17"/>
          <w:color w:val="auto"/>
        </w:rPr>
        <w:t>We provide postretirement benefits, including health care and life insurance to eligible retired U.S. employees, and where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applicable, their dependents. Accordingly, we sponsor a retiree medical program for eligible retired U.S. employees and fund applicable retiree medical accounts intended to provide reimbursement for eligible health care expenses on a tax-favored basis for retirees who satisfy certain eligibility requirements. Effective as of January 1, 2019, we no longer sponsor our own retiree medical coverage for substantially all retired U.S. employees that are Medicare eligible. Instead, we offer these Medicare-eligible retirees access to health care coverage through a private exchange and offer a health reimbursement account to subsidize benefits for a select group of such retirees. We also provide postretirement life insurance to all eligible U.S. employees who retired prior to January 1, 2018, as well as certain eligible retired employees covered by one of our collective bargaining agreements.</w:t>
      </w:r>
    </w:p>
    <w:p>
      <w:pPr>
        <w:spacing w:after="0" w:line="4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Determining net periodic benefit expense (income) is dependent on various actuarial assumptions, including discount rates, expected return on plan assets, compensation increases, turnover rates and health care trend rates. Actuarial gains and losses are recognized immediately in Other expenses / (income) in the Consolidated Statements of Earnings as of the measurement date, which is our fiscal year end, or more frequently if an interim remeasurement is required. We use the fair value of plan assets to calculate the expected return on plan assets.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51" w:name="page52"/>
    <w:bookmarkEnd w:id="51"/>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Components of net periodic benefit expense (income)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14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cost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19"/>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cost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0" w:type="dxa"/>
            <w:vAlign w:val="bottom"/>
          </w:tcPr>
          <w:p>
            <w:pPr>
              <w:spacing w:after="0"/>
              <w:rPr>
                <w:sz w:val="1"/>
                <w:szCs w:val="1"/>
                <w:color w:val="auto"/>
              </w:rPr>
            </w:pPr>
          </w:p>
        </w:tc>
      </w:tr>
      <w:tr>
        <w:trPr>
          <w:trHeight w:val="219"/>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prior service cost</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Actuarial losses (gains)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12"/>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periodic benefit expense (income)</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components of net periodic benefit expense (income) other than the service cost component associated with continuing operations are included in Other expenses / (income) in the Consolidated Statements of Earnings.</w:t>
      </w:r>
    </w:p>
    <w:p>
      <w:pPr>
        <w:spacing w:after="0" w:line="36"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actuarial losses recognized in 2022 were primarily due to losses on plan assets, partially offset by increases in discount rates used to determine the benefit obligation. The actuarial gains recognized in 2021 were primarily due to higher than anticipated investment gains on plan assets and increases in discount rates used to determine the benefit obligation. The actuarial losses recognized in 2020 were primarily due to decreases in discount rates used to determine the benefit obligation, partially offset by higher than anticipated investment gains on plan assets.</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Net periodic benefit expense (income) associated with discontinued operations was not material in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22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7"/>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cost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9"/>
        </w:trPr>
        <w:tc>
          <w:tcPr>
            <w:tcW w:w="7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cost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prior service credit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19"/>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Actuarial losses (gains)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37"/>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periodic benefit expense (income)</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components of net periodic benefit expense (income) other than the service cost component associated with continuing operations are included in Other expenses / (income) in the Consolidated Statements of Earnings.</w:t>
      </w:r>
    </w:p>
    <w:p>
      <w:pPr>
        <w:spacing w:after="0" w:line="36"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actuarial gains recognized in 2022 and 2021 were primarily due to increases in discount rates used to determine the benefit obligation. The actuarial losses recognized in 2020 were primarily due to decreases in discount rates used to determine the benefit obligation.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benefit obligation: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900" w:type="dxa"/>
            <w:vAlign w:val="bottom"/>
            <w:tcBorders>
              <w:bottom w:val="single" w:sz="8" w:color="CCEEFF"/>
            </w:tcBorders>
            <w:vMerge w:val="continue"/>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Obligation at beginning of year</w:t>
            </w:r>
          </w:p>
        </w:tc>
        <w:tc>
          <w:tcPr>
            <w:tcW w:w="19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2,186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0" w:type="dxa"/>
            <w:vAlign w:val="bottom"/>
          </w:tcPr>
          <w:p>
            <w:pPr>
              <w:spacing w:after="0"/>
              <w:rPr>
                <w:sz w:val="1"/>
                <w:szCs w:val="1"/>
                <w:color w:val="auto"/>
              </w:rPr>
            </w:pPr>
          </w:p>
        </w:tc>
      </w:tr>
      <w:tr>
        <w:trPr>
          <w:trHeight w:val="219"/>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Service cost</w:t>
            </w:r>
          </w:p>
        </w:tc>
        <w:tc>
          <w:tcPr>
            <w:tcW w:w="1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cost</w:t>
            </w:r>
          </w:p>
        </w:tc>
        <w:tc>
          <w:tcPr>
            <w:tcW w:w="1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9"/>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Actuarial loss (gain)</w:t>
            </w:r>
          </w:p>
        </w:tc>
        <w:tc>
          <w:tcPr>
            <w:tcW w:w="1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Benefits paid</w:t>
            </w:r>
          </w:p>
        </w:tc>
        <w:tc>
          <w:tcPr>
            <w:tcW w:w="1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9"/>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Settlements</w:t>
            </w:r>
          </w:p>
        </w:tc>
        <w:tc>
          <w:tcPr>
            <w:tcW w:w="1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adjustment</w:t>
            </w:r>
          </w:p>
        </w:tc>
        <w:tc>
          <w:tcPr>
            <w:tcW w:w="1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obligation at end of year</w:t>
            </w:r>
          </w:p>
        </w:tc>
        <w:tc>
          <w:tcPr>
            <w:tcW w:w="19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CCEEFF"/>
            </w:tcBorders>
            <w:vMerge w:val="restart"/>
          </w:tcPr>
          <w:p>
            <w:pPr>
              <w:jc w:val="right"/>
              <w:ind w:right="94"/>
              <w:spacing w:after="0"/>
              <w:rPr>
                <w:sz w:val="20"/>
                <w:szCs w:val="20"/>
                <w:color w:val="auto"/>
              </w:rPr>
            </w:pPr>
            <w:r>
              <w:rPr>
                <w:rFonts w:ascii="Times New Roman" w:cs="Times New Roman" w:eastAsia="Times New Roman" w:hAnsi="Times New Roman"/>
                <w:sz w:val="17"/>
                <w:szCs w:val="17"/>
                <w:color w:val="auto"/>
              </w:rPr>
              <w:t>52</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6"/>
        </w:trPr>
        <w:tc>
          <w:tcPr>
            <w:tcW w:w="390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900" w:type="dxa"/>
            <w:vAlign w:val="bottom"/>
            <w:tcBorders>
              <w:bottom w:val="single" w:sz="8" w:color="9A9A9A"/>
            </w:tcBorders>
          </w:tcPr>
          <w:p>
            <w:pPr>
              <w:spacing w:after="0"/>
              <w:rPr>
                <w:sz w:val="17"/>
                <w:szCs w:val="17"/>
                <w:color w:val="auto"/>
              </w:rPr>
            </w:pPr>
          </w:p>
        </w:tc>
        <w:tc>
          <w:tcPr>
            <w:tcW w:w="198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52" w:name="page53"/>
    <w:bookmarkEnd w:id="52"/>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Change in the fair value of pension plan assets: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
        </w:trPr>
        <w:tc>
          <w:tcPr>
            <w:tcW w:w="56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beginning of year</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2,220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2,120</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Actual return on plan assets</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Employer contributions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Benefits paid</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Settlements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19"/>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 currency adjustment</w:t>
            </w:r>
          </w:p>
        </w:tc>
        <w:tc>
          <w:tcPr>
            <w:tcW w:w="4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end of year</w:t>
            </w: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1,763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2,220</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Net amounts recognized in the Consolidated Balance Sheets:</w:t>
            </w:r>
          </w:p>
        </w:tc>
        <w:tc>
          <w:tcPr>
            <w:tcW w:w="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6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5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2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680" w:type="dxa"/>
            <w:vAlign w:val="bottom"/>
            <w:tcBorders>
              <w:bottom w:val="single" w:sz="8" w:color="CCEEFF"/>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b w:val="1"/>
                <w:bCs w:val="1"/>
                <w:color w:val="auto"/>
              </w:rPr>
              <w:t>146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44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7"/>
                <w:szCs w:val="17"/>
                <w:b w:val="1"/>
                <w:bCs w:val="1"/>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b w:val="1"/>
                <w:bCs w:val="1"/>
                <w:color w:val="auto"/>
              </w:rPr>
              <w:t>107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0" w:type="dxa"/>
            <w:vAlign w:val="bottom"/>
          </w:tcPr>
          <w:p>
            <w:pPr>
              <w:spacing w:after="0"/>
              <w:rPr>
                <w:sz w:val="1"/>
                <w:szCs w:val="1"/>
                <w:color w:val="auto"/>
              </w:rPr>
            </w:pPr>
          </w:p>
        </w:tc>
      </w:tr>
      <w:tr>
        <w:trPr>
          <w:trHeight w:val="212"/>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amounts recognized asset / (liability)</w:t>
            </w: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b w:val="1"/>
                <w:bCs w:val="1"/>
                <w:color w:val="auto"/>
              </w:rPr>
              <w:t>26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(172)</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6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Amounts recognized in accumulated other comprehensive income (loss) consist of:</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680" w:type="dxa"/>
            <w:vAlign w:val="bottom"/>
            <w:tcBorders>
              <w:bottom w:val="single" w:sz="8" w:color="CCEEFF"/>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Prior service credit (cost)</w:t>
            </w: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change in amounts recognized in accumulated other comprehensive income (loss) associated with postretirement benefits was due to amortization in 2022 and 2021.</w:t>
      </w:r>
    </w:p>
    <w:p>
      <w:pPr>
        <w:spacing w:after="0" w:line="23"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following table provides information for pension plans with projected benefit obligations in excess of plan assets and accumulated benefit obligations in excess of plan assets: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85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Projected benefit obligation</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r>
      <w:tr>
        <w:trPr>
          <w:trHeight w:val="219"/>
        </w:trPr>
        <w:tc>
          <w:tcPr>
            <w:tcW w:w="8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benefit obligation</w:t>
            </w:r>
          </w:p>
        </w:tc>
        <w:tc>
          <w:tcPr>
            <w:tcW w:w="880" w:type="dxa"/>
            <w:vAlign w:val="bottom"/>
          </w:tcPr>
          <w:p>
            <w:pPr>
              <w:jc w:val="right"/>
              <w:ind w:right="698"/>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118</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1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plan assets</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accumulated benefit obligation for all pension plans was $1.716 billion at July 31, 2022, and $2.159 billion at August 1, 2021.</w:t>
      </w:r>
    </w:p>
    <w:p>
      <w:pPr>
        <w:spacing w:after="0" w:line="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Weighted-average assumptions used to determine benefit obligations at the end of the year:</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70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900" w:type="dxa"/>
            <w:vAlign w:val="bottom"/>
            <w:gridSpan w:val="4"/>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6"/>
              </w:rPr>
              <w:t>Postretirement</w:t>
            </w:r>
          </w:p>
        </w:tc>
      </w:tr>
      <w:tr>
        <w:trPr>
          <w:trHeight w:val="22"/>
        </w:trPr>
        <w:tc>
          <w:tcPr>
            <w:tcW w:w="382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1"/>
        </w:trPr>
        <w:tc>
          <w:tcPr>
            <w:tcW w:w="38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20" w:type="dxa"/>
            <w:vAlign w:val="bottom"/>
            <w:tcBorders>
              <w:top w:val="single" w:sz="8" w:color="auto"/>
            </w:tcBorders>
            <w:gridSpan w:val="3"/>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5"/>
                <w:szCs w:val="15"/>
                <w:color w:val="auto"/>
              </w:rPr>
            </w:pPr>
          </w:p>
        </w:tc>
      </w:tr>
      <w:tr>
        <w:trPr>
          <w:trHeight w:val="217"/>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7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4.58%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ind w:right="218"/>
              <w:spacing w:after="0"/>
              <w:rPr>
                <w:sz w:val="20"/>
                <w:szCs w:val="20"/>
                <w:color w:val="auto"/>
              </w:rPr>
            </w:pPr>
            <w:r>
              <w:rPr>
                <w:rFonts w:ascii="Times New Roman" w:cs="Times New Roman" w:eastAsia="Times New Roman" w:hAnsi="Times New Roman"/>
                <w:sz w:val="17"/>
                <w:szCs w:val="17"/>
                <w:color w:val="auto"/>
              </w:rPr>
              <w:t>2.69%</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ind w:left="319"/>
              <w:spacing w:after="0"/>
              <w:rPr>
                <w:sz w:val="20"/>
                <w:szCs w:val="20"/>
                <w:color w:val="auto"/>
              </w:rPr>
            </w:pPr>
            <w:r>
              <w:rPr>
                <w:rFonts w:ascii="Times New Roman" w:cs="Times New Roman" w:eastAsia="Times New Roman" w:hAnsi="Times New Roman"/>
                <w:sz w:val="17"/>
                <w:szCs w:val="17"/>
                <w:b w:val="1"/>
                <w:bCs w:val="1"/>
                <w:color w:val="auto"/>
              </w:rPr>
              <w:t>4.48%</w:t>
            </w: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2.37%</w:t>
            </w:r>
          </w:p>
        </w:tc>
        <w:tc>
          <w:tcPr>
            <w:tcW w:w="80" w:type="dxa"/>
            <w:vAlign w:val="bottom"/>
          </w:tcPr>
          <w:p>
            <w:pPr>
              <w:spacing w:after="0"/>
              <w:rPr>
                <w:sz w:val="18"/>
                <w:szCs w:val="18"/>
                <w:color w:val="auto"/>
              </w:rPr>
            </w:pPr>
          </w:p>
        </w:tc>
      </w:tr>
      <w:tr>
        <w:trPr>
          <w:trHeight w:val="219"/>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Rate of compensation increase</w:t>
            </w:r>
          </w:p>
        </w:tc>
        <w:tc>
          <w:tcPr>
            <w:tcW w:w="3080" w:type="dxa"/>
            <w:vAlign w:val="bottom"/>
            <w:gridSpan w:val="2"/>
          </w:tcPr>
          <w:p>
            <w:pPr>
              <w:jc w:val="center"/>
              <w:ind w:left="1694"/>
              <w:spacing w:after="0"/>
              <w:rPr>
                <w:sz w:val="20"/>
                <w:szCs w:val="20"/>
                <w:color w:val="auto"/>
              </w:rPr>
            </w:pPr>
            <w:r>
              <w:rPr>
                <w:rFonts w:ascii="Times New Roman" w:cs="Times New Roman" w:eastAsia="Times New Roman" w:hAnsi="Times New Roman"/>
                <w:sz w:val="17"/>
                <w:szCs w:val="17"/>
                <w:b w:val="1"/>
                <w:bCs w:val="1"/>
                <w:color w:val="auto"/>
                <w:w w:val="98"/>
              </w:rPr>
              <w:t>3.23%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center"/>
              <w:ind w:right="218"/>
              <w:spacing w:after="0"/>
              <w:rPr>
                <w:sz w:val="20"/>
                <w:szCs w:val="20"/>
                <w:color w:val="auto"/>
              </w:rPr>
            </w:pPr>
            <w:r>
              <w:rPr>
                <w:rFonts w:ascii="Times New Roman" w:cs="Times New Roman" w:eastAsia="Times New Roman" w:hAnsi="Times New Roman"/>
                <w:sz w:val="17"/>
                <w:szCs w:val="17"/>
                <w:color w:val="auto"/>
              </w:rPr>
              <w:t>3.23%</w:t>
            </w:r>
          </w:p>
        </w:tc>
        <w:tc>
          <w:tcPr>
            <w:tcW w:w="100" w:type="dxa"/>
            <w:vAlign w:val="bottom"/>
          </w:tcPr>
          <w:p>
            <w:pPr>
              <w:spacing w:after="0"/>
              <w:rPr>
                <w:sz w:val="19"/>
                <w:szCs w:val="19"/>
                <w:color w:val="auto"/>
              </w:rPr>
            </w:pPr>
          </w:p>
        </w:tc>
        <w:tc>
          <w:tcPr>
            <w:tcW w:w="920" w:type="dxa"/>
            <w:vAlign w:val="bottom"/>
          </w:tcPr>
          <w:p>
            <w:pPr>
              <w:jc w:val="center"/>
              <w:ind w:left="319"/>
              <w:spacing w:after="0"/>
              <w:rPr>
                <w:sz w:val="20"/>
                <w:szCs w:val="20"/>
                <w:color w:val="auto"/>
              </w:rPr>
            </w:pPr>
            <w:r>
              <w:rPr>
                <w:rFonts w:ascii="Times New Roman" w:cs="Times New Roman" w:eastAsia="Times New Roman" w:hAnsi="Times New Roman"/>
                <w:sz w:val="17"/>
                <w:szCs w:val="17"/>
                <w:b w:val="1"/>
                <w:bCs w:val="1"/>
                <w:color w:val="auto"/>
              </w:rPr>
              <w:t>3.25%</w:t>
            </w:r>
          </w:p>
        </w:tc>
        <w:tc>
          <w:tcPr>
            <w:tcW w:w="1820" w:type="dxa"/>
            <w:vAlign w:val="bottom"/>
            <w:gridSpan w:val="3"/>
          </w:tcPr>
          <w:p>
            <w:pPr>
              <w:jc w:val="center"/>
              <w:ind w:left="422"/>
              <w:spacing w:after="0"/>
              <w:rPr>
                <w:sz w:val="20"/>
                <w:szCs w:val="20"/>
                <w:color w:val="auto"/>
              </w:rPr>
            </w:pPr>
            <w:r>
              <w:rPr>
                <w:rFonts w:ascii="Times New Roman" w:cs="Times New Roman" w:eastAsia="Times New Roman" w:hAnsi="Times New Roman"/>
                <w:sz w:val="17"/>
                <w:szCs w:val="17"/>
                <w:color w:val="auto"/>
              </w:rPr>
              <w:t>3.25%</w:t>
            </w:r>
          </w:p>
        </w:tc>
        <w:tc>
          <w:tcPr>
            <w:tcW w:w="80" w:type="dxa"/>
            <w:vAlign w:val="bottom"/>
          </w:tcPr>
          <w:p>
            <w:pPr>
              <w:spacing w:after="0"/>
              <w:rPr>
                <w:sz w:val="19"/>
                <w:szCs w:val="19"/>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crediting rate</w:t>
            </w:r>
          </w:p>
        </w:tc>
        <w:tc>
          <w:tcPr>
            <w:tcW w:w="3080" w:type="dxa"/>
            <w:vAlign w:val="bottom"/>
            <w:gridSpan w:val="2"/>
            <w:shd w:val="clear" w:color="auto" w:fill="CCEEFF"/>
          </w:tcPr>
          <w:p>
            <w:pPr>
              <w:jc w:val="center"/>
              <w:ind w:left="1694"/>
              <w:spacing w:after="0"/>
              <w:rPr>
                <w:sz w:val="20"/>
                <w:szCs w:val="20"/>
                <w:color w:val="auto"/>
              </w:rPr>
            </w:pPr>
            <w:r>
              <w:rPr>
                <w:rFonts w:ascii="Times New Roman" w:cs="Times New Roman" w:eastAsia="Times New Roman" w:hAnsi="Times New Roman"/>
                <w:sz w:val="17"/>
                <w:szCs w:val="17"/>
                <w:b w:val="1"/>
                <w:bCs w:val="1"/>
                <w:color w:val="auto"/>
                <w:w w:val="98"/>
              </w:rPr>
              <w:t>4.00%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218"/>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shd w:val="clear" w:color="auto" w:fill="CCEEFF"/>
          </w:tcPr>
          <w:p>
            <w:pPr>
              <w:spacing w:after="0"/>
              <w:rPr>
                <w:sz w:val="19"/>
                <w:szCs w:val="19"/>
                <w:color w:val="auto"/>
              </w:rPr>
            </w:pPr>
          </w:p>
        </w:tc>
        <w:tc>
          <w:tcPr>
            <w:tcW w:w="27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Not applicable</w:t>
            </w:r>
          </w:p>
        </w:tc>
        <w:tc>
          <w:tcPr>
            <w:tcW w:w="80" w:type="dxa"/>
            <w:vAlign w:val="bottom"/>
          </w:tcPr>
          <w:p>
            <w:pPr>
              <w:spacing w:after="0"/>
              <w:rPr>
                <w:sz w:val="19"/>
                <w:szCs w:val="19"/>
                <w:color w:val="auto"/>
              </w:rPr>
            </w:pPr>
          </w:p>
        </w:tc>
      </w:tr>
      <w:tr>
        <w:trPr>
          <w:trHeight w:val="374"/>
        </w:trPr>
        <w:tc>
          <w:tcPr>
            <w:tcW w:w="730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Weighted-average assumptions used to determine net periodic benefit cost for the years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3"/>
        </w:trPr>
        <w:tc>
          <w:tcPr>
            <w:tcW w:w="38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w w:val="98"/>
              </w:rPr>
              <w:t>Pension</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2"/>
        </w:trPr>
        <w:tc>
          <w:tcPr>
            <w:tcW w:w="3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1"/>
        </w:trPr>
        <w:tc>
          <w:tcPr>
            <w:tcW w:w="38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920" w:type="dxa"/>
            <w:vAlign w:val="bottom"/>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20" w:type="dxa"/>
            <w:vAlign w:val="bottom"/>
            <w:gridSpan w:val="3"/>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80" w:type="dxa"/>
            <w:vAlign w:val="bottom"/>
          </w:tcPr>
          <w:p>
            <w:pPr>
              <w:spacing w:after="0"/>
              <w:rPr>
                <w:sz w:val="15"/>
                <w:szCs w:val="15"/>
                <w:color w:val="auto"/>
              </w:rPr>
            </w:pPr>
          </w:p>
        </w:tc>
      </w:tr>
      <w:tr>
        <w:trPr>
          <w:trHeight w:val="217"/>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7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ind w:right="218"/>
              <w:spacing w:after="0"/>
              <w:rPr>
                <w:sz w:val="20"/>
                <w:szCs w:val="20"/>
                <w:color w:val="auto"/>
              </w:rPr>
            </w:pPr>
            <w:r>
              <w:rPr>
                <w:rFonts w:ascii="Times New Roman" w:cs="Times New Roman" w:eastAsia="Times New Roman" w:hAnsi="Times New Roman"/>
                <w:sz w:val="17"/>
                <w:szCs w:val="17"/>
                <w:b w:val="1"/>
                <w:bCs w:val="1"/>
                <w:color w:val="auto"/>
              </w:rPr>
              <w:t>3.13%</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ind w:left="319"/>
              <w:spacing w:after="0"/>
              <w:rPr>
                <w:sz w:val="20"/>
                <w:szCs w:val="20"/>
                <w:color w:val="auto"/>
              </w:rPr>
            </w:pPr>
            <w:r>
              <w:rPr>
                <w:rFonts w:ascii="Times New Roman" w:cs="Times New Roman" w:eastAsia="Times New Roman" w:hAnsi="Times New Roman"/>
                <w:sz w:val="17"/>
                <w:szCs w:val="17"/>
                <w:color w:val="auto"/>
              </w:rPr>
              <w:t>2.47%</w:t>
            </w: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3.46%</w:t>
            </w:r>
          </w:p>
        </w:tc>
        <w:tc>
          <w:tcPr>
            <w:tcW w:w="80" w:type="dxa"/>
            <w:vAlign w:val="bottom"/>
          </w:tcPr>
          <w:p>
            <w:pPr>
              <w:spacing w:after="0"/>
              <w:rPr>
                <w:sz w:val="18"/>
                <w:szCs w:val="18"/>
                <w:color w:val="auto"/>
              </w:rPr>
            </w:pPr>
          </w:p>
        </w:tc>
      </w:tr>
      <w:tr>
        <w:trPr>
          <w:trHeight w:val="219"/>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1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center"/>
              <w:ind w:right="218"/>
              <w:spacing w:after="0"/>
              <w:rPr>
                <w:sz w:val="20"/>
                <w:szCs w:val="20"/>
                <w:color w:val="auto"/>
              </w:rPr>
            </w:pPr>
            <w:r>
              <w:rPr>
                <w:rFonts w:ascii="Times New Roman" w:cs="Times New Roman" w:eastAsia="Times New Roman" w:hAnsi="Times New Roman"/>
                <w:sz w:val="17"/>
                <w:szCs w:val="17"/>
                <w:b w:val="1"/>
                <w:bCs w:val="1"/>
                <w:color w:val="auto"/>
              </w:rPr>
              <w:t>5.82%</w:t>
            </w:r>
          </w:p>
        </w:tc>
        <w:tc>
          <w:tcPr>
            <w:tcW w:w="100" w:type="dxa"/>
            <w:vAlign w:val="bottom"/>
          </w:tcPr>
          <w:p>
            <w:pPr>
              <w:spacing w:after="0"/>
              <w:rPr>
                <w:sz w:val="19"/>
                <w:szCs w:val="19"/>
                <w:color w:val="auto"/>
              </w:rPr>
            </w:pPr>
          </w:p>
        </w:tc>
        <w:tc>
          <w:tcPr>
            <w:tcW w:w="920" w:type="dxa"/>
            <w:vAlign w:val="bottom"/>
          </w:tcPr>
          <w:p>
            <w:pPr>
              <w:jc w:val="center"/>
              <w:ind w:left="319"/>
              <w:spacing w:after="0"/>
              <w:rPr>
                <w:sz w:val="20"/>
                <w:szCs w:val="20"/>
                <w:color w:val="auto"/>
              </w:rPr>
            </w:pPr>
            <w:r>
              <w:rPr>
                <w:rFonts w:ascii="Times New Roman" w:cs="Times New Roman" w:eastAsia="Times New Roman" w:hAnsi="Times New Roman"/>
                <w:sz w:val="17"/>
                <w:szCs w:val="17"/>
                <w:color w:val="auto"/>
              </w:rPr>
              <w:t>6.01%</w:t>
            </w:r>
          </w:p>
        </w:tc>
        <w:tc>
          <w:tcPr>
            <w:tcW w:w="1820" w:type="dxa"/>
            <w:vAlign w:val="bottom"/>
            <w:gridSpan w:val="3"/>
          </w:tcPr>
          <w:p>
            <w:pPr>
              <w:jc w:val="center"/>
              <w:ind w:left="422"/>
              <w:spacing w:after="0"/>
              <w:rPr>
                <w:sz w:val="20"/>
                <w:szCs w:val="20"/>
                <w:color w:val="auto"/>
              </w:rPr>
            </w:pPr>
            <w:r>
              <w:rPr>
                <w:rFonts w:ascii="Times New Roman" w:cs="Times New Roman" w:eastAsia="Times New Roman" w:hAnsi="Times New Roman"/>
                <w:sz w:val="17"/>
                <w:szCs w:val="17"/>
                <w:color w:val="auto"/>
              </w:rPr>
              <w:t>6.85%</w:t>
            </w:r>
          </w:p>
        </w:tc>
        <w:tc>
          <w:tcPr>
            <w:tcW w:w="80" w:type="dxa"/>
            <w:vAlign w:val="bottom"/>
          </w:tcPr>
          <w:p>
            <w:pPr>
              <w:spacing w:after="0"/>
              <w:rPr>
                <w:sz w:val="19"/>
                <w:szCs w:val="19"/>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Rate of compensation increase</w:t>
            </w:r>
          </w:p>
        </w:tc>
        <w:tc>
          <w:tcPr>
            <w:tcW w:w="17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218"/>
              <w:spacing w:after="0"/>
              <w:rPr>
                <w:sz w:val="20"/>
                <w:szCs w:val="20"/>
                <w:color w:val="auto"/>
              </w:rPr>
            </w:pPr>
            <w:r>
              <w:rPr>
                <w:rFonts w:ascii="Times New Roman" w:cs="Times New Roman" w:eastAsia="Times New Roman" w:hAnsi="Times New Roman"/>
                <w:sz w:val="17"/>
                <w:szCs w:val="17"/>
                <w:b w:val="1"/>
                <w:bCs w:val="1"/>
                <w:color w:val="auto"/>
              </w:rPr>
              <w:t>3.23%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319"/>
              <w:spacing w:after="0"/>
              <w:rPr>
                <w:sz w:val="20"/>
                <w:szCs w:val="20"/>
                <w:color w:val="auto"/>
              </w:rPr>
            </w:pPr>
            <w:r>
              <w:rPr>
                <w:rFonts w:ascii="Times New Roman" w:cs="Times New Roman" w:eastAsia="Times New Roman" w:hAnsi="Times New Roman"/>
                <w:sz w:val="17"/>
                <w:szCs w:val="17"/>
                <w:color w:val="auto"/>
              </w:rPr>
              <w:t>3.23%</w:t>
            </w:r>
          </w:p>
        </w:tc>
        <w:tc>
          <w:tcPr>
            <w:tcW w:w="1820" w:type="dxa"/>
            <w:vAlign w:val="bottom"/>
            <w:gridSpan w:val="3"/>
            <w:shd w:val="clear" w:color="auto" w:fill="CCEEFF"/>
          </w:tcPr>
          <w:p>
            <w:pPr>
              <w:jc w:val="center"/>
              <w:ind w:left="422"/>
              <w:spacing w:after="0"/>
              <w:rPr>
                <w:sz w:val="20"/>
                <w:szCs w:val="20"/>
                <w:color w:val="auto"/>
              </w:rPr>
            </w:pPr>
            <w:r>
              <w:rPr>
                <w:rFonts w:ascii="Times New Roman" w:cs="Times New Roman" w:eastAsia="Times New Roman" w:hAnsi="Times New Roman"/>
                <w:sz w:val="17"/>
                <w:szCs w:val="17"/>
                <w:color w:val="auto"/>
              </w:rPr>
              <w:t>3.20%</w:t>
            </w:r>
          </w:p>
        </w:tc>
        <w:tc>
          <w:tcPr>
            <w:tcW w:w="80" w:type="dxa"/>
            <w:vAlign w:val="bottom"/>
          </w:tcPr>
          <w:p>
            <w:pPr>
              <w:spacing w:after="0"/>
              <w:rPr>
                <w:sz w:val="19"/>
                <w:szCs w:val="19"/>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crediting rate</w:t>
            </w:r>
          </w:p>
        </w:tc>
        <w:tc>
          <w:tcPr>
            <w:tcW w:w="1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center"/>
              <w:ind w:right="218"/>
              <w:spacing w:after="0"/>
              <w:rPr>
                <w:sz w:val="20"/>
                <w:szCs w:val="20"/>
                <w:color w:val="auto"/>
              </w:rPr>
            </w:pPr>
            <w:r>
              <w:rPr>
                <w:rFonts w:ascii="Times New Roman" w:cs="Times New Roman" w:eastAsia="Times New Roman" w:hAnsi="Times New Roman"/>
                <w:sz w:val="17"/>
                <w:szCs w:val="17"/>
                <w:b w:val="1"/>
                <w:bCs w:val="1"/>
                <w:color w:val="auto"/>
              </w:rPr>
              <w:t>4.00%</w:t>
            </w:r>
          </w:p>
        </w:tc>
        <w:tc>
          <w:tcPr>
            <w:tcW w:w="100" w:type="dxa"/>
            <w:vAlign w:val="bottom"/>
          </w:tcPr>
          <w:p>
            <w:pPr>
              <w:spacing w:after="0"/>
              <w:rPr>
                <w:sz w:val="19"/>
                <w:szCs w:val="19"/>
                <w:color w:val="auto"/>
              </w:rPr>
            </w:pPr>
          </w:p>
        </w:tc>
        <w:tc>
          <w:tcPr>
            <w:tcW w:w="920" w:type="dxa"/>
            <w:vAlign w:val="bottom"/>
          </w:tcPr>
          <w:p>
            <w:pPr>
              <w:jc w:val="center"/>
              <w:ind w:left="319"/>
              <w:spacing w:after="0"/>
              <w:rPr>
                <w:sz w:val="20"/>
                <w:szCs w:val="20"/>
                <w:color w:val="auto"/>
              </w:rPr>
            </w:pPr>
            <w:r>
              <w:rPr>
                <w:rFonts w:ascii="Times New Roman" w:cs="Times New Roman" w:eastAsia="Times New Roman" w:hAnsi="Times New Roman"/>
                <w:sz w:val="17"/>
                <w:szCs w:val="17"/>
                <w:color w:val="auto"/>
              </w:rPr>
              <w:t>4.00%</w:t>
            </w:r>
          </w:p>
        </w:tc>
        <w:tc>
          <w:tcPr>
            <w:tcW w:w="1820" w:type="dxa"/>
            <w:vAlign w:val="bottom"/>
            <w:gridSpan w:val="3"/>
          </w:tcPr>
          <w:p>
            <w:pPr>
              <w:jc w:val="center"/>
              <w:ind w:left="422"/>
              <w:spacing w:after="0"/>
              <w:rPr>
                <w:sz w:val="20"/>
                <w:szCs w:val="20"/>
                <w:color w:val="auto"/>
              </w:rPr>
            </w:pPr>
            <w:r>
              <w:rPr>
                <w:rFonts w:ascii="Times New Roman" w:cs="Times New Roman" w:eastAsia="Times New Roman" w:hAnsi="Times New Roman"/>
                <w:sz w:val="17"/>
                <w:szCs w:val="17"/>
                <w:color w:val="auto"/>
              </w:rPr>
              <w:t>4.00%</w:t>
            </w:r>
          </w:p>
        </w:tc>
        <w:tc>
          <w:tcPr>
            <w:tcW w:w="80" w:type="dxa"/>
            <w:vAlign w:val="bottom"/>
          </w:tcPr>
          <w:p>
            <w:pPr>
              <w:spacing w:after="0"/>
              <w:rPr>
                <w:sz w:val="19"/>
                <w:szCs w:val="19"/>
                <w:color w:val="auto"/>
              </w:rPr>
            </w:pPr>
          </w:p>
        </w:tc>
      </w:tr>
      <w:tr>
        <w:trPr>
          <w:trHeight w:val="726"/>
        </w:trPr>
        <w:tc>
          <w:tcPr>
            <w:tcW w:w="3820" w:type="dxa"/>
            <w:vAlign w:val="bottom"/>
          </w:tcPr>
          <w:p>
            <w:pPr>
              <w:spacing w:after="0"/>
              <w:rPr>
                <w:sz w:val="24"/>
                <w:szCs w:val="24"/>
                <w:color w:val="auto"/>
              </w:rPr>
            </w:pPr>
          </w:p>
        </w:tc>
        <w:tc>
          <w:tcPr>
            <w:tcW w:w="3080" w:type="dxa"/>
            <w:vAlign w:val="bottom"/>
            <w:gridSpan w:val="2"/>
          </w:tcPr>
          <w:p>
            <w:pPr>
              <w:jc w:val="right"/>
              <w:ind w:right="1126"/>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8"/>
        </w:trPr>
        <w:tc>
          <w:tcPr>
            <w:tcW w:w="3820" w:type="dxa"/>
            <w:vAlign w:val="bottom"/>
            <w:tcBorders>
              <w:bottom w:val="single" w:sz="8" w:color="9A9A9A"/>
            </w:tcBorders>
          </w:tcPr>
          <w:p>
            <w:pPr>
              <w:spacing w:after="0"/>
              <w:rPr>
                <w:sz w:val="17"/>
                <w:szCs w:val="17"/>
                <w:color w:val="auto"/>
              </w:rPr>
            </w:pPr>
          </w:p>
        </w:tc>
        <w:tc>
          <w:tcPr>
            <w:tcW w:w="178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53" w:name="page54"/>
    <w:bookmarkEnd w:id="53"/>
    <w:p>
      <w:pPr>
        <w:jc w:val="both"/>
        <w:ind w:firstLine="309"/>
        <w:spacing w:after="0" w:line="262" w:lineRule="auto"/>
        <w:rPr>
          <w:sz w:val="20"/>
          <w:szCs w:val="20"/>
          <w:color w:val="auto"/>
        </w:rPr>
      </w:pPr>
      <w:r>
        <w:rPr>
          <w:rFonts w:ascii="Times New Roman" w:cs="Times New Roman" w:eastAsia="Times New Roman" w:hAnsi="Times New Roman"/>
          <w:sz w:val="17"/>
          <w:szCs w:val="17"/>
          <w:color w:val="auto"/>
        </w:rPr>
        <w:t>The discount rate is established as of the measurement date. In establishing the discount rate, we review published market indices of high-quality debt securities, adjusted as appropriate for duration. In addition, independent actuaries apply high-quality bond yield curves to the expected benefit payments of the plans. The expected return on plan assets is a long-term assumption based upon historical experience and expected future performance, considering our current and projected investment mix. This estimate is based on an estimate of future inflation, long-term projected real returns for each asset class and a premium for active management.</w:t>
      </w:r>
    </w:p>
    <w:p>
      <w:pPr>
        <w:spacing w:after="0" w:line="2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discount rate used to determine net periodic postretirement expense was 2.37% in 2022, 2.15% in 2021, and 3.28% in 2020.</w:t>
      </w:r>
    </w:p>
    <w:p>
      <w:pPr>
        <w:spacing w:after="0" w:line="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Assumed health care cost trend rates at the end of the year:</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2"/>
        </w:trPr>
        <w:tc>
          <w:tcPr>
            <w:tcW w:w="84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2"/>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Health care cost trend rate assumed for next year</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6.50%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6.25%</w:t>
            </w:r>
          </w:p>
        </w:tc>
      </w:tr>
      <w:tr>
        <w:trPr>
          <w:trHeight w:val="219"/>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Rate to which the cost trend rate is assumed to decline (ultimate trend rate)</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5.00%</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4.50%</w:t>
            </w:r>
          </w:p>
        </w:tc>
      </w:tr>
      <w:tr>
        <w:trPr>
          <w:trHeight w:val="21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that the rate reaches the ultimate trend rate</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r>
    </w:tbl>
    <w:p>
      <w:pPr>
        <w:spacing w:after="0" w:line="1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Pension Plan Assets</w:t>
      </w:r>
    </w:p>
    <w:p>
      <w:pPr>
        <w:spacing w:after="0" w:line="10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fundamental goal underlying the investment policy is to ensure that the assets of the plans are invested in a prudent manner to meet the obligations of the plans as these obligations come due. The primary investment objectives include providing a total return which will promote the goal of benefit security by attaining an appropriate ratio of plan assets to plan obligations, to provide for real asset growth while also tracking plan obligations, to diversify investments across and within asset classes, to reduce the impact of losses in single investments, and to follow investment practices that comply with applicable laws and regulations.</w:t>
      </w:r>
    </w:p>
    <w:p>
      <w:pPr>
        <w:spacing w:after="0" w:line="4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primary policy objectives will be met by investing assets to achieve a reasonable tradeoff between return and risk relative to plan obligations. This includes investing a portion of the assets in funds selected in part to hedge the interest rate sensitivity to plan obligations.</w:t>
      </w:r>
    </w:p>
    <w:p>
      <w:pPr>
        <w:spacing w:after="0" w:line="3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 portfolio includes investments in the following asset classes: fixed income, equity, real estate and alternatives. Fixed income will provide a moderate expected return and partially hedge the exposure to interest rate risk of the plans’ obligations. Equities are used for their high expected return. Additional asset classes are used to provide diversification.</w:t>
      </w:r>
    </w:p>
    <w:p>
      <w:pPr>
        <w:spacing w:after="0" w:line="5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Asset allocation is monitored on an ongoing basis relative to the established asset class targets. The interaction between plan assets and benefit obligations is periodically studied to assist in the establishment of strategic asset allocation targets. The investment policy permits variances from the targets within certain parameters. Asset rebalancing occurs when the underlying asset class allocations move outside these parameters, at which time the asset allocation is rebalanced back to the policy target weight.</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year-end pension plan weighted-average asset allocations by category were: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60" w:type="dxa"/>
            <w:vAlign w:val="bottom"/>
          </w:tcPr>
          <w:p>
            <w:pPr>
              <w:spacing w:after="0"/>
              <w:rPr>
                <w:sz w:val="15"/>
                <w:szCs w:val="15"/>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Strategic Target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34%</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36%</w:t>
            </w: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securities</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59%</w:t>
            </w:r>
          </w:p>
        </w:tc>
        <w:tc>
          <w:tcPr>
            <w:tcW w:w="1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57%</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and other</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7%</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7%</w:t>
            </w:r>
          </w:p>
        </w:tc>
      </w:tr>
      <w:tr>
        <w:trPr>
          <w:trHeight w:val="21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100%</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r>
      <w:tr>
        <w:trPr>
          <w:trHeight w:val="20"/>
        </w:trPr>
        <w:tc>
          <w:tcPr>
            <w:tcW w:w="7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Pension plan assets are categorized based on the following fair value hierarchy:</w:t>
      </w:r>
    </w:p>
    <w:p>
      <w:pPr>
        <w:spacing w:after="0" w:line="101" w:lineRule="exact"/>
        <w:rPr>
          <w:sz w:val="20"/>
          <w:szCs w:val="20"/>
          <w:color w:val="auto"/>
        </w:rPr>
      </w:pPr>
    </w:p>
    <w:p>
      <w:pPr>
        <w:ind w:left="620" w:hanging="308"/>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Observable inputs that reflect quoted prices (unadjusted) for identical assets or liabilities in active markets.</w:t>
      </w:r>
    </w:p>
    <w:p>
      <w:pPr>
        <w:spacing w:after="0" w:line="100" w:lineRule="exact"/>
        <w:rPr>
          <w:rFonts w:ascii="Times New Roman" w:cs="Times New Roman" w:eastAsia="Times New Roman" w:hAnsi="Times New Roman"/>
          <w:sz w:val="17"/>
          <w:szCs w:val="17"/>
          <w:color w:val="auto"/>
        </w:rPr>
      </w:pPr>
    </w:p>
    <w:p>
      <w:pPr>
        <w:ind w:left="620" w:hanging="308"/>
        <w:spacing w:after="0" w:line="263" w:lineRule="auto"/>
        <w:tabs>
          <w:tab w:leader="none" w:pos="61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quoted prices included in Level 1 that are observable for the asset or liability through corroboration with observable market data.</w:t>
      </w:r>
    </w:p>
    <w:p>
      <w:pPr>
        <w:spacing w:after="0" w:line="275"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which are valued based on our estimates of assumptions that market participants would use in pricing the asset or liability.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54" w:name="page55"/>
    <w:bookmarkEnd w:id="54"/>
    <w:p>
      <w:pPr>
        <w:ind w:left="320"/>
        <w:spacing w:after="0"/>
        <w:rPr>
          <w:sz w:val="20"/>
          <w:szCs w:val="20"/>
          <w:color w:val="auto"/>
        </w:rPr>
      </w:pPr>
      <w:r>
        <w:rPr>
          <w:rFonts w:ascii="Times New Roman" w:cs="Times New Roman" w:eastAsia="Times New Roman" w:hAnsi="Times New Roman"/>
          <w:sz w:val="17"/>
          <w:szCs w:val="17"/>
          <w:color w:val="auto"/>
        </w:rPr>
        <w:t>The following table presents our pension plan assets by asset category at July 31, 2022, and August 1,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gridSpan w:val="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Fair Value Measurements at</w:t>
            </w:r>
          </w:p>
        </w:tc>
        <w:tc>
          <w:tcPr>
            <w:tcW w:w="100" w:type="dxa"/>
            <w:vAlign w:val="bottom"/>
          </w:tcPr>
          <w:p>
            <w:pPr>
              <w:spacing w:after="0"/>
              <w:rPr>
                <w:sz w:val="13"/>
                <w:szCs w:val="13"/>
                <w:color w:val="auto"/>
              </w:rPr>
            </w:pPr>
          </w:p>
        </w:tc>
        <w:tc>
          <w:tcPr>
            <w:tcW w:w="76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gridSpan w:val="7"/>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7"/>
              </w:rPr>
              <w:t>Fair Value Measurements at</w:t>
            </w:r>
          </w:p>
        </w:tc>
        <w:tc>
          <w:tcPr>
            <w:tcW w:w="0" w:type="dxa"/>
            <w:vAlign w:val="bottom"/>
          </w:tcPr>
          <w:p>
            <w:pPr>
              <w:spacing w:after="0"/>
              <w:rPr>
                <w:sz w:val="1"/>
                <w:szCs w:val="1"/>
                <w:color w:val="auto"/>
              </w:rPr>
            </w:pPr>
          </w:p>
        </w:tc>
      </w:tr>
      <w:tr>
        <w:trPr>
          <w:trHeight w:val="64"/>
        </w:trPr>
        <w:tc>
          <w:tcPr>
            <w:tcW w:w="3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80" w:type="dxa"/>
            <w:vAlign w:val="bottom"/>
            <w:gridSpan w:val="6"/>
            <w:vMerge w:val="restart"/>
          </w:tcPr>
          <w:p>
            <w:pPr>
              <w:jc w:val="center"/>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8"/>
              </w:rPr>
              <w:t>July 31, 2022 Using</w:t>
            </w: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60" w:type="dxa"/>
            <w:vAlign w:val="bottom"/>
            <w:gridSpan w:val="6"/>
            <w:vMerge w:val="restart"/>
          </w:tcPr>
          <w:p>
            <w:pPr>
              <w:jc w:val="center"/>
              <w:ind w:left="458"/>
              <w:spacing w:after="0" w:line="142" w:lineRule="exact"/>
              <w:rPr>
                <w:sz w:val="20"/>
                <w:szCs w:val="20"/>
                <w:color w:val="auto"/>
              </w:rPr>
            </w:pPr>
            <w:r>
              <w:rPr>
                <w:rFonts w:ascii="Times New Roman" w:cs="Times New Roman" w:eastAsia="Times New Roman" w:hAnsi="Times New Roman"/>
                <w:sz w:val="14"/>
                <w:szCs w:val="14"/>
                <w:b w:val="1"/>
                <w:bCs w:val="1"/>
                <w:color w:val="auto"/>
                <w:w w:val="96"/>
              </w:rPr>
              <w:t>August 1, 2021 Using</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3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restart"/>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3"/>
              </w:rPr>
              <w:t>Fair Value</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80" w:type="dxa"/>
            <w:vAlign w:val="bottom"/>
            <w:gridSpan w:val="6"/>
            <w:vMerge w:val="continue"/>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restart"/>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w w:val="93"/>
              </w:rPr>
              <w:t>as of</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960" w:type="dxa"/>
            <w:vAlign w:val="bottom"/>
            <w:gridSpan w:val="6"/>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3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20" w:type="dxa"/>
            <w:vAlign w:val="bottom"/>
            <w:gridSpan w:val="7"/>
            <w:vMerge w:val="restart"/>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w w:val="97"/>
              </w:rPr>
              <w:t>Fair Value Hierarchy</w:t>
            </w: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60" w:type="dxa"/>
            <w:vAlign w:val="bottom"/>
            <w:gridSpan w:val="6"/>
            <w:vMerge w:val="restart"/>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w w:val="97"/>
              </w:rPr>
              <w:t>Fair Value Hierarchy</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6"/>
              <w:spacing w:after="0" w:line="121"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7"/>
            <w:vMerge w:val="continue"/>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7"/>
              <w:spacing w:after="0" w:line="121"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6"/>
            <w:vMerge w:val="continue"/>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July 31, 2022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7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80" w:type="dxa"/>
            <w:vAlign w:val="bottom"/>
          </w:tcPr>
          <w:p>
            <w:pPr>
              <w:spacing w:after="0"/>
              <w:rPr>
                <w:sz w:val="15"/>
                <w:szCs w:val="15"/>
                <w:color w:val="auto"/>
              </w:rPr>
            </w:pPr>
          </w:p>
        </w:tc>
        <w:tc>
          <w:tcPr>
            <w:tcW w:w="7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7"/>
        </w:trPr>
        <w:tc>
          <w:tcPr>
            <w:tcW w:w="35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Short-term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Equities: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U.S.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Non-U.S.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bonds: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U.S.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Non-U.S.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Government and agency bonds: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U.S.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Non-U.S.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Municipal bonds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Mortgage and asset backed securities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Real estate</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9"/>
        </w:trPr>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Hedge funds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Derivative assets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Derivative liabilities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3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assets at fair value</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266</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Investments measured at net asset value:</w:t>
            </w: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investments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Commingled equity funds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Commingled fixed income funds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Real estate</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Hedge funds</w:t>
            </w: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investments measured at net asset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items to reconcile to fair value</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pension plan assets at fair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Short-term investments — </w:t>
      </w:r>
      <w:r>
        <w:rPr>
          <w:rFonts w:ascii="Times New Roman" w:cs="Times New Roman" w:eastAsia="Times New Roman" w:hAnsi="Times New Roman"/>
          <w:sz w:val="17"/>
          <w:szCs w:val="17"/>
          <w:color w:val="auto"/>
        </w:rPr>
        <w:t>Investments include cash and cash equivalents, and various short-term debt instruments and short-term investment funds.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Institutional short-term investment vehicles valued daily are classified as Level 1 at cost which approximates market value. Short-term debt instruments are classified at Level 2 and are valued based on bid quotations and recent trade data for identical or similar obligations. Other investments valued based upon net asset value are included as a reconciling item to the fair value table.</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Equities — </w:t>
      </w:r>
      <w:r>
        <w:rPr>
          <w:rFonts w:ascii="Times New Roman" w:cs="Times New Roman" w:eastAsia="Times New Roman" w:hAnsi="Times New Roman"/>
          <w:sz w:val="17"/>
          <w:szCs w:val="17"/>
          <w:color w:val="auto"/>
        </w:rPr>
        <w:t>Generally common stocks and preferred stocks are classified as Level 1 and are valued using quoted market prices in active markets.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Corporate bonds — </w:t>
      </w:r>
      <w:r>
        <w:rPr>
          <w:rFonts w:ascii="Times New Roman" w:cs="Times New Roman" w:eastAsia="Times New Roman" w:hAnsi="Times New Roman"/>
          <w:sz w:val="17"/>
          <w:szCs w:val="17"/>
          <w:color w:val="auto"/>
        </w:rPr>
        <w:t>These investments are valued based on quoted market prices, yield curves and pricing models using current market rates.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Government and agency bonds — </w:t>
      </w:r>
      <w:r>
        <w:rPr>
          <w:rFonts w:ascii="Times New Roman" w:cs="Times New Roman" w:eastAsia="Times New Roman" w:hAnsi="Times New Roman"/>
          <w:sz w:val="17"/>
          <w:szCs w:val="17"/>
          <w:color w:val="auto"/>
        </w:rPr>
        <w:t>These investments are generally valued based on bid quotations and recent trade data for identical or similar obligations.</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Municipal bonds — </w:t>
      </w:r>
      <w:r>
        <w:rPr>
          <w:rFonts w:ascii="Times New Roman" w:cs="Times New Roman" w:eastAsia="Times New Roman" w:hAnsi="Times New Roman"/>
          <w:sz w:val="17"/>
          <w:szCs w:val="17"/>
          <w:color w:val="auto"/>
        </w:rPr>
        <w:t>These investments are valued based on quoted market prices, yield curves and pricing models using current market rates.</w:t>
      </w:r>
    </w:p>
    <w:p>
      <w:pPr>
        <w:spacing w:after="0" w:line="101" w:lineRule="exact"/>
        <w:rPr>
          <w:sz w:val="20"/>
          <w:szCs w:val="20"/>
          <w:color w:val="auto"/>
        </w:rPr>
      </w:pPr>
    </w:p>
    <w:p>
      <w:pPr>
        <w:ind w:firstLine="309"/>
        <w:spacing w:after="0" w:line="291" w:lineRule="auto"/>
        <w:rPr>
          <w:sz w:val="20"/>
          <w:szCs w:val="20"/>
          <w:color w:val="auto"/>
        </w:rPr>
      </w:pPr>
      <w:r>
        <w:rPr>
          <w:rFonts w:ascii="Times New Roman" w:cs="Times New Roman" w:eastAsia="Times New Roman" w:hAnsi="Times New Roman"/>
          <w:sz w:val="17"/>
          <w:szCs w:val="17"/>
          <w:i w:val="1"/>
          <w:iCs w:val="1"/>
          <w:color w:val="auto"/>
        </w:rPr>
        <w:t xml:space="preserve">Mortgage and asset backed securities — </w:t>
      </w:r>
      <w:r>
        <w:rPr>
          <w:rFonts w:ascii="Times New Roman" w:cs="Times New Roman" w:eastAsia="Times New Roman" w:hAnsi="Times New Roman"/>
          <w:sz w:val="17"/>
          <w:szCs w:val="17"/>
          <w:color w:val="auto"/>
        </w:rPr>
        <w:t>These investments are valued based on prices obtained from third party pricing sources. The prices from third party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pricing sources may be based on bid quotes from dealers and recent trade data. Mortgage backed securities are traded in the over-the-counter market.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55" w:name="page56"/>
    <w:bookmarkEnd w:id="55"/>
    <w:p>
      <w:pPr>
        <w:jc w:val="both"/>
        <w:ind w:firstLine="309"/>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Real estate — </w:t>
      </w:r>
      <w:r>
        <w:rPr>
          <w:rFonts w:ascii="Times New Roman" w:cs="Times New Roman" w:eastAsia="Times New Roman" w:hAnsi="Times New Roman"/>
          <w:sz w:val="17"/>
          <w:szCs w:val="17"/>
          <w:color w:val="auto"/>
        </w:rPr>
        <w:t>Real estate investments consist of real estate investment trusts, property funds and limited partnerships. Real estate investment trusts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classified as Level 1 and are valued based on quoted market prices. Property funds are classified as either Level 2 or Level 3 depending upon whether liquidity is limited or there are few observable market participant transactions. Property funds are valued based on third party appraisals. Limited partnerships are valued based upon valuations provided by the general partners of the funds. The values of limited partnerships are based upon an assessment of each underlying investment, incorporating valuations that consider the evaluation of financing and sales transactions with third parties, expected cash flows and market-based information, including comparable transactions and performance multiples among other factors. The investments are classified as Level 3 since the valuation is determined using unobservable inputs. Real estate investments valued at net asset value are included as a reconciling item to the fair value table.</w:t>
      </w:r>
    </w:p>
    <w:p>
      <w:pPr>
        <w:spacing w:after="0" w:line="43"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Hedge funds — </w:t>
      </w:r>
      <w:r>
        <w:rPr>
          <w:rFonts w:ascii="Times New Roman" w:cs="Times New Roman" w:eastAsia="Times New Roman" w:hAnsi="Times New Roman"/>
          <w:sz w:val="17"/>
          <w:szCs w:val="17"/>
          <w:color w:val="auto"/>
        </w:rPr>
        <w:t>Hedge fund investments include hedge funds valued based upon a net asset value derived from the fair value of underlying securities. Hedge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fund investments that are subject to liquidity restrictions or that are based on unobservable inputs are classified as Level 3. Hedge fund investments may include long and short positions in equity and fixed income securities, derivative instruments such as futures and options, commodities and other types of securities. Hedge fund investments valued at net asset value are included as a reconciling item to the fair value table.</w:t>
      </w:r>
    </w:p>
    <w:p>
      <w:pPr>
        <w:spacing w:after="0" w:line="51" w:lineRule="exact"/>
        <w:rPr>
          <w:sz w:val="20"/>
          <w:szCs w:val="20"/>
          <w:color w:val="auto"/>
        </w:rPr>
      </w:pPr>
    </w:p>
    <w:p>
      <w:pPr>
        <w:jc w:val="both"/>
        <w:ind w:firstLine="309"/>
        <w:spacing w:after="0" w:line="291" w:lineRule="auto"/>
        <w:rPr>
          <w:sz w:val="20"/>
          <w:szCs w:val="20"/>
          <w:color w:val="auto"/>
        </w:rPr>
      </w:pPr>
      <w:r>
        <w:rPr>
          <w:rFonts w:ascii="Times New Roman" w:cs="Times New Roman" w:eastAsia="Times New Roman" w:hAnsi="Times New Roman"/>
          <w:sz w:val="17"/>
          <w:szCs w:val="17"/>
          <w:i w:val="1"/>
          <w:iCs w:val="1"/>
          <w:color w:val="auto"/>
        </w:rPr>
        <w:t xml:space="preserve">Derivatives — </w:t>
      </w:r>
      <w:r>
        <w:rPr>
          <w:rFonts w:ascii="Times New Roman" w:cs="Times New Roman" w:eastAsia="Times New Roman" w:hAnsi="Times New Roman"/>
          <w:sz w:val="17"/>
          <w:szCs w:val="17"/>
          <w:color w:val="auto"/>
        </w:rPr>
        <w:t>Derivative financial instruments include forward currency contracts, futures contracts, options contracts, interest rate swaps and credit default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swaps. Derivative financial instruments are classified as Level 2 and are valued based on observable market transactions or prices.</w:t>
      </w:r>
    </w:p>
    <w:p>
      <w:pPr>
        <w:spacing w:after="0" w:line="28" w:lineRule="exact"/>
        <w:rPr>
          <w:sz w:val="20"/>
          <w:szCs w:val="20"/>
          <w:color w:val="auto"/>
        </w:rPr>
      </w:pPr>
    </w:p>
    <w:p>
      <w:pPr>
        <w:jc w:val="both"/>
        <w:ind w:firstLine="309"/>
        <w:spacing w:after="0" w:line="291" w:lineRule="auto"/>
        <w:rPr>
          <w:sz w:val="20"/>
          <w:szCs w:val="20"/>
          <w:color w:val="auto"/>
        </w:rPr>
      </w:pPr>
      <w:r>
        <w:rPr>
          <w:rFonts w:ascii="Times New Roman" w:cs="Times New Roman" w:eastAsia="Times New Roman" w:hAnsi="Times New Roman"/>
          <w:sz w:val="17"/>
          <w:szCs w:val="17"/>
          <w:i w:val="1"/>
          <w:iCs w:val="1"/>
          <w:color w:val="auto"/>
        </w:rPr>
        <w:t xml:space="preserve">Commingled funds — </w:t>
      </w:r>
      <w:r>
        <w:rPr>
          <w:rFonts w:ascii="Times New Roman" w:cs="Times New Roman" w:eastAsia="Times New Roman" w:hAnsi="Times New Roman"/>
          <w:sz w:val="17"/>
          <w:szCs w:val="17"/>
          <w:color w:val="auto"/>
        </w:rPr>
        <w:t>Investments in commingled funds are not traded in active markets. Commingled funds are valued based on the net asset values of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funds and are included as a reconciling item to the fair value table.</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Other items to reconcile to fair value of plan assets included amounts due for securities sold, amounts payable for securities purchased and other payables.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changes in fair value of Level 3 investments for the years ended July 31, 2022, and August 1, 2021: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Hedge Funds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August 1, 2021</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Actual return on plan assets</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Purchases, sales and settlements,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Transfers out of Level 3</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July 31, 2022</w:t>
            </w: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21"/>
                <w:szCs w:val="21"/>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Hedge Funds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August 2, 2020</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Actual return on plan assets</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sales and settlements, net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Transfers out of Level 3</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August 1, 2021</w:t>
            </w: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Estimated future benefit payments are as follows: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7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155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147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142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138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2028-2032</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619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estimated future benefit payments include payments from funded and unfunded plans.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do not expect contributions to pension plans to be material in 2023.</w:t>
      </w:r>
    </w:p>
    <w:p>
      <w:pPr>
        <w:spacing w:after="0" w:line="97" w:lineRule="exact"/>
        <w:rPr>
          <w:sz w:val="20"/>
          <w:szCs w:val="20"/>
          <w:color w:val="auto"/>
        </w:rPr>
      </w:pPr>
    </w:p>
    <w:p>
      <w:pPr>
        <w:ind w:firstLine="309"/>
        <w:spacing w:after="0" w:line="291" w:lineRule="auto"/>
        <w:rPr>
          <w:sz w:val="20"/>
          <w:szCs w:val="20"/>
          <w:color w:val="auto"/>
        </w:rPr>
      </w:pPr>
      <w:r>
        <w:rPr>
          <w:rFonts w:ascii="Times New Roman" w:cs="Times New Roman" w:eastAsia="Times New Roman" w:hAnsi="Times New Roman"/>
          <w:sz w:val="17"/>
          <w:szCs w:val="17"/>
          <w:i w:val="1"/>
          <w:iCs w:val="1"/>
          <w:color w:val="auto"/>
        </w:rPr>
        <w:t xml:space="preserve">Defined Contribution Plans — </w:t>
      </w:r>
      <w:r>
        <w:rPr>
          <w:rFonts w:ascii="Times New Roman" w:cs="Times New Roman" w:eastAsia="Times New Roman" w:hAnsi="Times New Roman"/>
          <w:sz w:val="17"/>
          <w:szCs w:val="17"/>
          <w:color w:val="auto"/>
        </w:rPr>
        <w:t>We sponsor a 401(k) Retirement Plan that covers substantially all U.S. employees and provide a matching contribution of 100%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employee contributions up to 4% of eligible compensation. In addition, for</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56" w:name="page57"/>
    <w:bookmarkEnd w:id="56"/>
    <w:p>
      <w:pPr>
        <w:jc w:val="both"/>
        <w:spacing w:after="0" w:line="260" w:lineRule="auto"/>
        <w:rPr>
          <w:sz w:val="20"/>
          <w:szCs w:val="20"/>
          <w:color w:val="auto"/>
        </w:rPr>
      </w:pPr>
      <w:r>
        <w:rPr>
          <w:rFonts w:ascii="Times New Roman" w:cs="Times New Roman" w:eastAsia="Times New Roman" w:hAnsi="Times New Roman"/>
          <w:sz w:val="17"/>
          <w:szCs w:val="17"/>
          <w:color w:val="auto"/>
        </w:rPr>
        <w:t>employees not eligible to participate in defined benefit plans that we sponsor, we provide a contribution equal to 3% of eligible compensation regardless of their participation in the 401(k) Retirement Plan. Through December 31, 2019, all Snyder's-Lance U.S. employees were eligible to participate in a 401(k) retirement plan sponsored by Snyder's-Lance that provided participants with matching contributions equal to 100% of the first 4% and 50% of the next 1% of eligible compensation. As of January 1, 2020, Snyder's-Lance employees were transitioned to the 401(k) Retirement Plan and receive the same contributions under the 401(k) Retirement Plan noted above. Amounts charged to Costs and expenses of continuing operations were $69 million in 2022, $64 million in 2021 and $62 million in 2020.</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Leases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lease warehouse and distribution facilities, office space, manufacturing facilities, equipment and vehicles, primarily through operating leases.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Leases recorded on our Consolidated Balance Sheet have remaining terms primarily from 1 to 13 years.</w:t>
      </w:r>
    </w:p>
    <w:p>
      <w:pPr>
        <w:spacing w:after="0" w:line="88"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Our fleet leases generally include residual value guarantees that are assessed at lease inception in determining ROU assets and corresponding liabilities. No other significant restrictions or covenants are included in our leases.</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components of lease costs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
        </w:trPr>
        <w:tc>
          <w:tcPr>
            <w:tcW w:w="7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19"/>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 amortization of ROU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19"/>
        </w:trPr>
        <w:tc>
          <w:tcPr>
            <w:tcW w:w="712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Variable lease cost</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Sublease income</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7120" w:type="dxa"/>
            <w:vAlign w:val="bottom"/>
          </w:tcPr>
          <w:p>
            <w:pPr>
              <w:ind w:left="20"/>
              <w:spacing w:after="0" w:line="211" w:lineRule="exact"/>
              <w:rPr>
                <w:sz w:val="20"/>
                <w:szCs w:val="20"/>
                <w:color w:val="auto"/>
              </w:rPr>
            </w:pPr>
            <w:r>
              <w:rPr>
                <w:rFonts w:ascii="Times New Roman" w:cs="Times New Roman" w:eastAsia="Times New Roman" w:hAnsi="Times New Roman"/>
                <w:sz w:val="17"/>
                <w:szCs w:val="17"/>
                <w:color w:val="auto"/>
              </w:rPr>
              <w:t>Total</w:t>
            </w:r>
            <w:r>
              <w:rPr>
                <w:rFonts w:ascii="Times New Roman" w:cs="Times New Roman" w:eastAsia="Times New Roman" w:hAnsi="Times New Roman"/>
                <w:sz w:val="22"/>
                <w:szCs w:val="22"/>
                <w:color w:val="auto"/>
                <w:vertAlign w:val="superscript"/>
              </w:rPr>
              <w:t>(2)</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354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w:t>
            </w:r>
          </w:p>
        </w:tc>
      </w:tr>
      <w:tr>
        <w:trPr>
          <w:trHeight w:val="20"/>
        </w:trPr>
        <w:tc>
          <w:tcPr>
            <w:tcW w:w="7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__________________________________________</w:t>
      </w:r>
    </w:p>
    <w:p>
      <w:pPr>
        <w:spacing w:after="0" w:line="38" w:lineRule="exact"/>
        <w:rPr>
          <w:sz w:val="20"/>
          <w:szCs w:val="20"/>
          <w:color w:val="auto"/>
        </w:rPr>
      </w:pPr>
    </w:p>
    <w:p>
      <w:pPr>
        <w:ind w:left="300" w:hanging="297"/>
        <w:spacing w:after="0"/>
        <w:tabs>
          <w:tab w:leader="none" w:pos="300"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labor and other overhead included in our service contracts with embedded leases.</w:t>
      </w:r>
    </w:p>
    <w:p>
      <w:pPr>
        <w:spacing w:after="0" w:line="52"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Total lease cost in 2020 included $4 million related to discontinued operations.</w:t>
      </w:r>
    </w:p>
    <w:p>
      <w:pPr>
        <w:spacing w:after="0" w:line="382" w:lineRule="exact"/>
        <w:rPr>
          <w:rFonts w:ascii="Times New Roman" w:cs="Times New Roman" w:eastAsia="Times New Roman" w:hAnsi="Times New Roman"/>
          <w:sz w:val="22"/>
          <w:szCs w:val="22"/>
          <w:color w:val="auto"/>
          <w:vertAlign w:val="superscript"/>
        </w:rPr>
      </w:pPr>
    </w:p>
    <w:p>
      <w:pPr>
        <w:ind w:left="32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following table summarizes the lease amounts recorded in the Consolidated Balance Sheets: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300" w:type="dxa"/>
            <w:vAlign w:val="bottom"/>
            <w:tcBorders>
              <w:bottom w:val="single" w:sz="8" w:color="CCEEFF"/>
            </w:tcBorders>
            <w:vMerge w:val="continue"/>
          </w:tcPr>
          <w:p>
            <w:pPr>
              <w:spacing w:after="0"/>
              <w:rPr>
                <w:sz w:val="15"/>
                <w:szCs w:val="15"/>
                <w:color w:val="auto"/>
              </w:rPr>
            </w:pPr>
          </w:p>
        </w:tc>
        <w:tc>
          <w:tcPr>
            <w:tcW w:w="24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w w:val="99"/>
              </w:rPr>
              <w:t>Balance Sheet Classification</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ROU assets, net</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 (current)</w:t>
            </w:r>
          </w:p>
        </w:tc>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1200" w:type="dxa"/>
            <w:vAlign w:val="bottom"/>
            <w:gridSpan w:val="3"/>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62</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liabilities (noncurrent)</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1200" w:type="dxa"/>
            <w:vAlign w:val="bottom"/>
            <w:gridSpan w:val="3"/>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0" w:type="dxa"/>
            <w:vAlign w:val="bottom"/>
          </w:tcPr>
          <w:p>
            <w:pPr>
              <w:spacing w:after="0"/>
              <w:rPr>
                <w:sz w:val="1"/>
                <w:szCs w:val="1"/>
                <w:color w:val="auto"/>
              </w:rPr>
            </w:pPr>
          </w:p>
        </w:tc>
      </w:tr>
      <w:tr>
        <w:trPr>
          <w:trHeight w:val="428"/>
        </w:trPr>
        <w:tc>
          <w:tcPr>
            <w:tcW w:w="5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Financing Leases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300" w:type="dxa"/>
            <w:vAlign w:val="bottom"/>
            <w:tcBorders>
              <w:bottom w:val="single" w:sz="8" w:color="CCEEFF"/>
            </w:tcBorders>
            <w:vMerge w:val="continue"/>
          </w:tcPr>
          <w:p>
            <w:pPr>
              <w:spacing w:after="0"/>
              <w:rPr>
                <w:sz w:val="15"/>
                <w:szCs w:val="15"/>
                <w:color w:val="auto"/>
              </w:rPr>
            </w:pPr>
          </w:p>
        </w:tc>
        <w:tc>
          <w:tcPr>
            <w:tcW w:w="24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w w:val="99"/>
              </w:rPr>
              <w:t>Balance Sheet Classification</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ROU assets, net</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Plant assets, net of depreciation</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 (current)</w:t>
            </w:r>
          </w:p>
        </w:tc>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borrowings</w:t>
            </w:r>
          </w:p>
        </w:tc>
        <w:tc>
          <w:tcPr>
            <w:tcW w:w="1200" w:type="dxa"/>
            <w:vAlign w:val="bottom"/>
            <w:gridSpan w:val="3"/>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liabilities (noncurrent)</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200" w:type="dxa"/>
            <w:vAlign w:val="bottom"/>
            <w:gridSpan w:val="3"/>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Weighted-average lease terms and discount rates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2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w w:val="97"/>
              </w:rPr>
              <w:t>July 31, 2022</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August 1, 2021</w:t>
            </w:r>
          </w:p>
        </w:tc>
      </w:tr>
      <w:tr>
        <w:trPr>
          <w:trHeight w:val="22"/>
        </w:trPr>
        <w:tc>
          <w:tcPr>
            <w:tcW w:w="4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1"/>
        </w:trPr>
        <w:tc>
          <w:tcPr>
            <w:tcW w:w="4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20" w:type="dxa"/>
            <w:vAlign w:val="bottom"/>
            <w:tcBorders>
              <w:top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4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6"/>
              </w:rPr>
              <w:t>Finance</w:t>
            </w:r>
          </w:p>
        </w:tc>
        <w:tc>
          <w:tcPr>
            <w:tcW w:w="100" w:type="dxa"/>
            <w:vAlign w:val="bottom"/>
          </w:tcPr>
          <w:p>
            <w:pPr>
              <w:spacing w:after="0"/>
              <w:rPr>
                <w:sz w:val="15"/>
                <w:szCs w:val="15"/>
                <w:color w:val="auto"/>
              </w:rPr>
            </w:pPr>
          </w:p>
        </w:tc>
        <w:tc>
          <w:tcPr>
            <w:tcW w:w="120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120" w:type="dxa"/>
            <w:vAlign w:val="bottom"/>
            <w:tcBorders>
              <w:top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217"/>
        </w:trPr>
        <w:tc>
          <w:tcPr>
            <w:tcW w:w="42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Weighted-average remaining term in years</w:t>
            </w:r>
          </w:p>
        </w:tc>
        <w:tc>
          <w:tcPr>
            <w:tcW w:w="2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7"/>
                <w:szCs w:val="17"/>
                <w:b w:val="1"/>
                <w:bCs w:val="1"/>
                <w:color w:val="auto"/>
              </w:rPr>
              <w:t>5.7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3.1</w:t>
            </w:r>
          </w:p>
        </w:tc>
      </w:tr>
      <w:tr>
        <w:trPr>
          <w:trHeight w:val="227"/>
        </w:trPr>
        <w:tc>
          <w:tcPr>
            <w:tcW w:w="4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2.2  %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0.8  %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0.8  %</w:t>
            </w:r>
          </w:p>
        </w:tc>
      </w:tr>
      <w:tr>
        <w:trPr>
          <w:trHeight w:val="726"/>
        </w:trPr>
        <w:tc>
          <w:tcPr>
            <w:tcW w:w="4240" w:type="dxa"/>
            <w:vAlign w:val="bottom"/>
          </w:tcPr>
          <w:p>
            <w:pPr>
              <w:spacing w:after="0"/>
              <w:rPr>
                <w:sz w:val="24"/>
                <w:szCs w:val="24"/>
                <w:color w:val="auto"/>
              </w:rPr>
            </w:pPr>
          </w:p>
        </w:tc>
        <w:tc>
          <w:tcPr>
            <w:tcW w:w="212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57</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8"/>
        </w:trPr>
        <w:tc>
          <w:tcPr>
            <w:tcW w:w="4240" w:type="dxa"/>
            <w:vAlign w:val="bottom"/>
            <w:tcBorders>
              <w:bottom w:val="single" w:sz="8" w:color="9A9A9A"/>
            </w:tcBorders>
          </w:tcPr>
          <w:p>
            <w:pPr>
              <w:spacing w:after="0"/>
              <w:rPr>
                <w:sz w:val="17"/>
                <w:szCs w:val="17"/>
                <w:color w:val="auto"/>
              </w:rPr>
            </w:pPr>
          </w:p>
        </w:tc>
        <w:tc>
          <w:tcPr>
            <w:tcW w:w="212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57" w:name="page58"/>
    <w:bookmarkEnd w:id="57"/>
    <w:p>
      <w:pPr>
        <w:ind w:left="320"/>
        <w:spacing w:after="0"/>
        <w:rPr>
          <w:sz w:val="20"/>
          <w:szCs w:val="20"/>
          <w:color w:val="auto"/>
        </w:rPr>
      </w:pPr>
      <w:r>
        <w:rPr>
          <w:rFonts w:ascii="Times New Roman" w:cs="Times New Roman" w:eastAsia="Times New Roman" w:hAnsi="Times New Roman"/>
          <w:sz w:val="17"/>
          <w:szCs w:val="17"/>
          <w:color w:val="auto"/>
        </w:rPr>
        <w:t>Future minimum lease payments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w w:val="97"/>
              </w:rPr>
              <w:t>July 31, 2022</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5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w w:val="96"/>
              </w:rPr>
              <w:t>Finance</w:t>
            </w:r>
          </w:p>
        </w:tc>
        <w:tc>
          <w:tcPr>
            <w:tcW w:w="0" w:type="dxa"/>
            <w:vAlign w:val="bottom"/>
          </w:tcPr>
          <w:p>
            <w:pPr>
              <w:spacing w:after="0"/>
              <w:rPr>
                <w:sz w:val="1"/>
                <w:szCs w:val="1"/>
                <w:color w:val="auto"/>
              </w:rPr>
            </w:pPr>
          </w:p>
        </w:tc>
      </w:tr>
      <w:tr>
        <w:trPr>
          <w:trHeight w:val="217"/>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9"/>
        </w:trPr>
        <w:tc>
          <w:tcPr>
            <w:tcW w:w="8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9"/>
        </w:trPr>
        <w:tc>
          <w:tcPr>
            <w:tcW w:w="8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future undiscounted lease payments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19"/>
        </w:trPr>
        <w:tc>
          <w:tcPr>
            <w:tcW w:w="8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Less imputed interest</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reported lease liability</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239</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7"/>
                <w:szCs w:val="17"/>
                <w:color w:val="auto"/>
              </w:rPr>
              <w:t>The following table summarizes cash flow and other information related to leases:</w:t>
            </w: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
        </w:trPr>
        <w:tc>
          <w:tcPr>
            <w:tcW w:w="8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7"/>
                <w:szCs w:val="17"/>
                <w:b w:val="1"/>
                <w:bCs w:val="1"/>
                <w:color w:val="auto"/>
              </w:rPr>
              <w:t>78</w:t>
            </w:r>
          </w:p>
        </w:tc>
        <w:tc>
          <w:tcPr>
            <w:tcW w:w="1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Financing cash flows from finance leases</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b w:val="1"/>
                <w:bCs w:val="1"/>
                <w:color w:val="auto"/>
              </w:rPr>
              <w:t>17</w:t>
            </w:r>
          </w:p>
        </w:tc>
        <w:tc>
          <w:tcPr>
            <w:tcW w:w="10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58"/>
        </w:trPr>
        <w:tc>
          <w:tcPr>
            <w:tcW w:w="8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ROU assets obtained in exchange for lease obligations:</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leases</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7"/>
                <w:szCs w:val="17"/>
                <w:b w:val="1"/>
                <w:bCs w:val="1"/>
                <w:color w:val="auto"/>
              </w:rPr>
              <w:t>79</w:t>
            </w:r>
          </w:p>
        </w:tc>
        <w:tc>
          <w:tcPr>
            <w:tcW w:w="1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Finance leases</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b w:val="1"/>
                <w:bCs w:val="1"/>
                <w:color w:val="auto"/>
              </w:rPr>
              <w:t>16</w:t>
            </w:r>
          </w:p>
        </w:tc>
        <w:tc>
          <w:tcPr>
            <w:tcW w:w="10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Taxes on Earnings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provision for income taxes on earnings from continuing operations consists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2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Currently payable:</w:t>
            </w:r>
          </w:p>
        </w:tc>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Federal</w:t>
            </w:r>
          </w:p>
        </w:tc>
        <w:tc>
          <w:tcPr>
            <w:tcW w:w="2580" w:type="dxa"/>
            <w:vAlign w:val="bottom"/>
            <w:gridSpan w:val="3"/>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State</w:t>
            </w:r>
          </w:p>
        </w:tc>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Non-U.S.</w:t>
            </w:r>
          </w:p>
        </w:tc>
        <w:tc>
          <w:tcPr>
            <w:tcW w:w="22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4760" w:type="dxa"/>
            <w:vAlign w:val="bottom"/>
            <w:tcBorders>
              <w:bottom w:val="single" w:sz="8" w:color="CCEEFF"/>
            </w:tcBorders>
          </w:tcPr>
          <w:p>
            <w:pPr>
              <w:spacing w:after="0"/>
              <w:rPr>
                <w:sz w:val="18"/>
                <w:szCs w:val="18"/>
                <w:color w:val="auto"/>
              </w:rPr>
            </w:pPr>
          </w:p>
        </w:tc>
        <w:tc>
          <w:tcPr>
            <w:tcW w:w="2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197</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w:t>
            </w:r>
          </w:p>
        </w:tc>
        <w:tc>
          <w:tcPr>
            <w:tcW w:w="2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Federal</w:t>
            </w:r>
          </w:p>
        </w:tc>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State</w:t>
            </w:r>
          </w:p>
        </w:tc>
        <w:tc>
          <w:tcPr>
            <w:tcW w:w="2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637"/>
              <w:spacing w:after="0"/>
              <w:rPr>
                <w:sz w:val="20"/>
                <w:szCs w:val="20"/>
                <w:color w:val="auto"/>
              </w:rPr>
            </w:pPr>
            <w:r>
              <w:rPr>
                <w:rFonts w:ascii="Times New Roman" w:cs="Times New Roman" w:eastAsia="Times New Roman" w:hAnsi="Times New Roman"/>
                <w:sz w:val="17"/>
                <w:szCs w:val="17"/>
                <w:b w:val="1"/>
                <w:bCs w:val="1"/>
                <w:color w:val="auto"/>
              </w:rPr>
              <w:t>(6)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Non-U.S.</w:t>
            </w:r>
          </w:p>
        </w:tc>
        <w:tc>
          <w:tcPr>
            <w:tcW w:w="2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637"/>
              <w:spacing w:after="0"/>
              <w:rPr>
                <w:sz w:val="20"/>
                <w:szCs w:val="20"/>
                <w:color w:val="auto"/>
              </w:rPr>
            </w:pPr>
            <w:r>
              <w:rPr>
                <w:rFonts w:ascii="Times New Roman" w:cs="Times New Roman" w:eastAsia="Times New Roman" w:hAnsi="Times New Roman"/>
                <w:sz w:val="17"/>
                <w:szCs w:val="17"/>
                <w:b w:val="1"/>
                <w:bCs w:val="1"/>
                <w:color w:val="auto"/>
              </w:rPr>
              <w:t>(2)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gridSpan w:val="2"/>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2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from continuing operations before income taxes:</w:t>
            </w:r>
          </w:p>
        </w:tc>
        <w:tc>
          <w:tcPr>
            <w:tcW w:w="2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580" w:type="dxa"/>
            <w:vAlign w:val="bottom"/>
            <w:gridSpan w:val="3"/>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gridSpan w:val="2"/>
          </w:tcPr>
          <w:p>
            <w:pPr>
              <w:jc w:val="center"/>
              <w:ind w:left="537"/>
              <w:spacing w:after="0"/>
              <w:rPr>
                <w:sz w:val="20"/>
                <w:szCs w:val="20"/>
                <w:color w:val="auto"/>
              </w:rPr>
            </w:pPr>
            <w:r>
              <w:rPr>
                <w:rFonts w:ascii="Times New Roman" w:cs="Times New Roman" w:eastAsia="Times New Roman" w:hAnsi="Times New Roman"/>
                <w:sz w:val="17"/>
                <w:szCs w:val="17"/>
                <w:b w:val="1"/>
                <w:bCs w:val="1"/>
                <w:color w:val="auto"/>
              </w:rPr>
              <w:t>948</w:t>
            </w:r>
          </w:p>
        </w:tc>
        <w:tc>
          <w:tcPr>
            <w:tcW w:w="20" w:type="dxa"/>
            <w:vAlign w:val="bottom"/>
          </w:tcPr>
          <w:p>
            <w:pPr>
              <w:spacing w:after="0"/>
              <w:rPr>
                <w:sz w:val="19"/>
                <w:szCs w:val="19"/>
                <w:color w:val="auto"/>
              </w:rPr>
            </w:pPr>
          </w:p>
        </w:tc>
        <w:tc>
          <w:tcPr>
            <w:tcW w:w="36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1,308</w:t>
            </w:r>
          </w:p>
        </w:tc>
        <w:tc>
          <w:tcPr>
            <w:tcW w:w="20" w:type="dxa"/>
            <w:vAlign w:val="bottom"/>
          </w:tcPr>
          <w:p>
            <w:pPr>
              <w:spacing w:after="0"/>
              <w:rPr>
                <w:sz w:val="19"/>
                <w:szCs w:val="19"/>
                <w:color w:val="auto"/>
              </w:rPr>
            </w:pPr>
          </w:p>
        </w:tc>
        <w:tc>
          <w:tcPr>
            <w:tcW w:w="34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Non-U.S.</w:t>
            </w:r>
          </w:p>
        </w:tc>
        <w:tc>
          <w:tcPr>
            <w:tcW w:w="2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300" w:type="dxa"/>
            <w:vAlign w:val="bottom"/>
            <w:gridSpan w:val="2"/>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auto"/>
            </w:tcBorders>
            <w:gridSpan w:val="2"/>
          </w:tcPr>
          <w:p>
            <w:pPr>
              <w:jc w:val="center"/>
              <w:ind w:left="537"/>
              <w:spacing w:after="0"/>
              <w:rPr>
                <w:sz w:val="20"/>
                <w:szCs w:val="20"/>
                <w:color w:val="auto"/>
              </w:rPr>
            </w:pPr>
            <w:r>
              <w:rPr>
                <w:rFonts w:ascii="Times New Roman" w:cs="Times New Roman" w:eastAsia="Times New Roman" w:hAnsi="Times New Roman"/>
                <w:sz w:val="17"/>
                <w:szCs w:val="17"/>
                <w:b w:val="1"/>
                <w:bCs w:val="1"/>
                <w:color w:val="auto"/>
              </w:rPr>
              <w:t>975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20" w:type="dxa"/>
            <w:vAlign w:val="bottom"/>
            <w:vMerge w:val="restart"/>
          </w:tcPr>
          <w:p>
            <w:pPr>
              <w:jc w:val="right"/>
              <w:ind w:right="1214"/>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6"/>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9A9A9A"/>
            </w:tcBorders>
          </w:tcPr>
          <w:p>
            <w:pPr>
              <w:spacing w:after="0"/>
              <w:rPr>
                <w:sz w:val="17"/>
                <w:szCs w:val="17"/>
                <w:color w:val="auto"/>
              </w:rPr>
            </w:pPr>
          </w:p>
        </w:tc>
        <w:tc>
          <w:tcPr>
            <w:tcW w:w="4760" w:type="dxa"/>
            <w:vAlign w:val="bottom"/>
            <w:tcBorders>
              <w:bottom w:val="single" w:sz="8" w:color="9A9A9A"/>
            </w:tcBorders>
          </w:tcPr>
          <w:p>
            <w:pPr>
              <w:spacing w:after="0"/>
              <w:rPr>
                <w:sz w:val="17"/>
                <w:szCs w:val="17"/>
                <w:color w:val="auto"/>
              </w:rPr>
            </w:pPr>
          </w:p>
        </w:tc>
        <w:tc>
          <w:tcPr>
            <w:tcW w:w="22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58" w:name="page59"/>
    <w:bookmarkEnd w:id="58"/>
    <w:p>
      <w:pPr>
        <w:ind w:left="320"/>
        <w:spacing w:after="0"/>
        <w:rPr>
          <w:sz w:val="20"/>
          <w:szCs w:val="20"/>
          <w:color w:val="auto"/>
        </w:rPr>
      </w:pPr>
      <w:r>
        <w:rPr>
          <w:rFonts w:ascii="Times New Roman" w:cs="Times New Roman" w:eastAsia="Times New Roman" w:hAnsi="Times New Roman"/>
          <w:sz w:val="17"/>
          <w:szCs w:val="17"/>
          <w:color w:val="auto"/>
        </w:rPr>
        <w:t>The following is a reconciliation of the effective income tax rate on continuing operations to the U.S. federal statutory income tax rate: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80" w:type="dxa"/>
            <w:vAlign w:val="bottom"/>
          </w:tcPr>
          <w:p>
            <w:pPr>
              <w:spacing w:after="0"/>
              <w:rPr>
                <w:sz w:val="15"/>
                <w:szCs w:val="15"/>
                <w:color w:val="auto"/>
              </w:rPr>
            </w:pPr>
          </w:p>
        </w:tc>
        <w:tc>
          <w:tcPr>
            <w:tcW w:w="12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2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2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
        </w:trPr>
        <w:tc>
          <w:tcPr>
            <w:tcW w:w="73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statutory income tax rate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21.0 %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19"/>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income taxes (net of federal tax benefit)</w:t>
            </w:r>
          </w:p>
        </w:tc>
        <w:tc>
          <w:tcPr>
            <w:tcW w:w="1240" w:type="dxa"/>
            <w:vAlign w:val="bottom"/>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2.2</w:t>
            </w:r>
          </w:p>
        </w:tc>
        <w:tc>
          <w:tcPr>
            <w:tcW w:w="100" w:type="dxa"/>
            <w:vAlign w:val="bottom"/>
          </w:tcPr>
          <w:p>
            <w:pPr>
              <w:spacing w:after="0"/>
              <w:rPr>
                <w:sz w:val="19"/>
                <w:szCs w:val="19"/>
                <w:color w:val="auto"/>
              </w:rPr>
            </w:pP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3.4</w:t>
            </w: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effect of international items</w:t>
            </w:r>
          </w:p>
        </w:tc>
        <w:tc>
          <w:tcPr>
            <w:tcW w:w="12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0.7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(0.3)</w:t>
            </w:r>
          </w:p>
        </w:tc>
      </w:tr>
      <w:tr>
        <w:trPr>
          <w:trHeight w:val="219"/>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income tax law changes</w:t>
            </w: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tcPr>
          <w:p>
            <w:pPr>
              <w:spacing w:after="0"/>
              <w:rPr>
                <w:sz w:val="19"/>
                <w:szCs w:val="19"/>
                <w:color w:val="auto"/>
              </w:rPr>
            </w:pP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0.1</w:t>
            </w: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Divestiture impact on deferred taxes</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Legal entity reorganization</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loss on the sale of the Plum baby food and snacks business</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loss valuation allowance on the sale of the Plum baby food and snacks business</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on sale of the European chips business</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(0.5)</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(0.2)</w:t>
            </w:r>
          </w:p>
        </w:tc>
      </w:tr>
      <w:tr>
        <w:trPr>
          <w:trHeight w:val="237"/>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income tax rate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22.4 %</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24.6 %</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22.7 %</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 the second quarter of 2021, we recorded a $19 million deferred tax charge in connection with a legal entity reorganization as part of the continued integration of Snyder's-Lance.</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Deferred tax liabilities and assets are comprised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5"/>
                <w:szCs w:val="15"/>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w:t>
            </w:r>
          </w:p>
        </w:tc>
      </w:tr>
      <w:tr>
        <w:trPr>
          <w:trHeight w:val="219"/>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ROU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19"/>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2"/>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Deferred tax liabilities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1,328</w:t>
            </w:r>
          </w:p>
        </w:tc>
      </w:tr>
      <w:tr>
        <w:trPr>
          <w:trHeight w:val="21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Benefits and compensation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219"/>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benefits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loss carryforwards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9"/>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loss carryforwards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1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12"/>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Gross deferred tax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r>
      <w:tr>
        <w:trPr>
          <w:trHeight w:val="21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tax asset valuation allowance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12"/>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tax assets, net of valuation allowance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r>
      <w:tr>
        <w:trPr>
          <w:trHeight w:val="212"/>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deferred tax liability</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1,072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At July 31, 2022, our U.S. and non-U.S. subsidiaries had tax loss carryforwards of approximately $259 million. Of these carryforwards, $4 million may be carried forward indefinitely, and $255 million expire between 2023 and 2037, with the majority expiring after 2028. At July 31, 2022, deferred tax asset valuation allowances have been established to offset $78 million of these tax loss carryforwards. Additionally, as of July 31, 2022, our U.S. and non-U.S. subsidiaries had capital loss carryforwards of approximately $477 million, all of which were offset by valuation allowances.</w:t>
      </w:r>
    </w:p>
    <w:p>
      <w:pPr>
        <w:spacing w:after="0" w:line="54"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net change in the deferred tax asset valuation allowance in 2022 was a decrease of $11 million. The decrease was primarily due to liquidation of an inactive subsidiary. The net change in the deferred tax asset valuation allowance in 2021 was an increase of $20 million. The increase was primarily due to the sale of the the Plum baby food and snacks business. The net change in the deferred tax asset valuation allowance in 2020 was a decrease of $305 million. The decrease was primarily due to the sale of the Arnott's and other international operations.</w:t>
      </w:r>
    </w:p>
    <w:p>
      <w:pPr>
        <w:spacing w:after="0" w:line="5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As of July 31, 2022, and August 1, 2021, other deferred tax assets included $13 million of state tax credit carryforwards related to various states that expire between 2023 and 2025. As of July 31, 2022, and August 1, 2021, deferred tax asset valuation allowances have been established to offset the $13 million of state credit carryforwards.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59" w:name="page60"/>
    <w:bookmarkEnd w:id="59"/>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As of July 31, 2022, we had approximately $11 million of undistributed earnings of foreign subsidiaries which are deemed to be permanently reinvested and for which we have not recognized a deferred tax liability. We estimate that the tax liability that might be incurred if permanently reinvested earnings were remitted to the U.S. would not be material. Foreign subsidiary earnings in 2021 and thereafter are not considered permanently reinvested and we have therefore recognized a deferred tax liability and expense.</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reconciliation of the activity related to unrecognized tax benefits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9"/>
        </w:trPr>
        <w:tc>
          <w:tcPr>
            <w:tcW w:w="7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Increases related to prior-year tax positions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Decreases related to prior-year tax positions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7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Increases related to current-year tax positions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Settlements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Lapse of statute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year</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decrease of unrecognized tax benefits was primarily due to audit settlements. The amount of unrecognized tax benefits that, if recognized, would impact the annual effective tax rate was $12 million as of July 31, 2022, and $18 million as of August 1, 2021 and August 2, 2020. The total amount of unrecognized tax benefits can change due to audit settlements, tax examination activities, statute expirations and the recognition and measurement criteria under accounting for uncertainty in income taxes.</w:t>
      </w:r>
    </w:p>
    <w:p>
      <w:pPr>
        <w:spacing w:after="0" w:line="5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Our accounting policy for interest and penalties attributable to income taxes is to reflect any expense or benefit as a component of our income tax provision. The total amount of interest and penalties recognized in the Consolidated Statements of Earnings was not material in 2022, 2021, and 2020. The total amount of interest and penalties recognized in the Consolidated Balance Sheets in Other liabilities was $4 million as of July 31, 2022, and as of August 1, 2021.</w:t>
      </w:r>
    </w:p>
    <w:p>
      <w:pPr>
        <w:spacing w:after="0" w:line="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file income tax returns in the U.S. federal jurisdiction and various state and non-U.S. jurisdictions. In the normal course of business, we are subject to examination by taxing authorities, including the U.S. and Canada. With limited exceptions, we have been audited for income tax purposes in the U.S. through 2020 and in Canada through 2016. In addition, several state income tax examinations are in progress for the years 2016 to 2021.</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Short-term Borrowings and Long-term Debt</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Short-term borrowings consist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5"/>
                <w:szCs w:val="15"/>
                <w:color w:val="auto"/>
              </w:rPr>
            </w:pPr>
          </w:p>
        </w:tc>
        <w:tc>
          <w:tcPr>
            <w:tcW w:w="11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9"/>
        </w:trPr>
        <w:tc>
          <w:tcPr>
            <w:tcW w:w="804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8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short-term borrowings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w:t>
      </w:r>
    </w:p>
    <w:p>
      <w:pPr>
        <w:spacing w:after="0" w:line="32" w:lineRule="exact"/>
        <w:rPr>
          <w:sz w:val="20"/>
          <w:szCs w:val="20"/>
          <w:color w:val="auto"/>
        </w:rPr>
      </w:pPr>
    </w:p>
    <w:p>
      <w:pPr>
        <w:ind w:left="300" w:hanging="297"/>
        <w:spacing w:after="0"/>
        <w:tabs>
          <w:tab w:leader="none" w:pos="300" w:val="left"/>
        </w:tabs>
        <w:numPr>
          <w:ilvl w:val="0"/>
          <w:numId w:val="5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unamortized net discount/premium on debt issuances and debt issuance costs.</w:t>
      </w:r>
    </w:p>
    <w:p>
      <w:pPr>
        <w:spacing w:after="0" w:line="79" w:lineRule="exact"/>
        <w:rPr>
          <w:rFonts w:ascii="Times New Roman" w:cs="Times New Roman" w:eastAsia="Times New Roman" w:hAnsi="Times New Roman"/>
          <w:sz w:val="22"/>
          <w:szCs w:val="22"/>
          <w:color w:val="auto"/>
          <w:vertAlign w:val="superscript"/>
        </w:rPr>
      </w:pPr>
    </w:p>
    <w:p>
      <w:pPr>
        <w:ind w:left="32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weighted-average interest rate of commercial paper, which consisted of U.S. borrowings, was 2.63% as of July 31, 2022, and 0.22% as of August 1, 2021.</w:t>
      </w:r>
    </w:p>
    <w:p>
      <w:pPr>
        <w:spacing w:after="0" w:line="94"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As of July 31, 2022, we issued $32 million of standby letters of credit. On November 2, 2020, we entered into a committed revolving credit facility totaling $1.85 billion scheduled to mature on November 2, 2023. On September 27, 2021, we replaced the facility with a new $1.85 billion committed revolving facility that matures on September 27, 2026. This facility remained unused at July 31, 2022, except for $1 million of standby letters of credit that we issued under it. The facility contains customary covenants, including a financial covenant with respect to a minimum consolidated interest coverage ratio of consolidated adjusted EBITDA to consolidated interest expense (as each is defined in the credit facility) of not less than 3.25:1.00, measured quarterly, and customary events of default for credit facilities of this type. Loans under this facility will bear interest at the rates specified in the facility, which vary based on the type of loan and certain other customary conditions. The facility supports our commercial paper program and other general corporate purposes. In March 2020, we borrowed $300 million under our previous revolving credit facility and on May 1, 2020, we repaid the borrowings.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60" w:name="page61"/>
    <w:bookmarkEnd w:id="60"/>
    <w:p>
      <w:pPr>
        <w:ind w:left="320"/>
        <w:spacing w:after="0"/>
        <w:rPr>
          <w:sz w:val="20"/>
          <w:szCs w:val="20"/>
          <w:color w:val="auto"/>
        </w:rPr>
      </w:pPr>
      <w:r>
        <w:rPr>
          <w:rFonts w:ascii="Times New Roman" w:cs="Times New Roman" w:eastAsia="Times New Roman" w:hAnsi="Times New Roman"/>
          <w:sz w:val="17"/>
          <w:szCs w:val="17"/>
          <w:color w:val="auto"/>
        </w:rPr>
        <w:t>Long-term debt consists of the following: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3"/>
                <w:szCs w:val="13"/>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60" w:type="dxa"/>
            <w:vAlign w:val="bottom"/>
            <w:tcBorders>
              <w:top w:val="single" w:sz="8" w:color="auto"/>
              <w:bottom w:val="single" w:sz="8" w:color="CCEEFF"/>
            </w:tcBorders>
          </w:tcPr>
          <w:p>
            <w:pPr>
              <w:spacing w:after="0"/>
              <w:rPr>
                <w:sz w:val="2"/>
                <w:szCs w:val="2"/>
                <w:color w:val="auto"/>
              </w:rPr>
            </w:pPr>
          </w:p>
        </w:tc>
        <w:tc>
          <w:tcPr>
            <w:tcW w:w="120" w:type="dxa"/>
            <w:vAlign w:val="bottom"/>
            <w:tcBorders>
              <w:top w:val="single" w:sz="8" w:color="auto"/>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2.50%</w:t>
            </w: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due August 2, 2022</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3.65%</w:t>
            </w:r>
          </w:p>
        </w:tc>
        <w:tc>
          <w:tcPr>
            <w:tcW w:w="7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Notes due March 15, 2023</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566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3.95%</w:t>
            </w: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due March 15, 2025</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850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3.30%</w:t>
            </w:r>
          </w:p>
        </w:tc>
        <w:tc>
          <w:tcPr>
            <w:tcW w:w="7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Notes due March 19, 2025</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4.15%</w:t>
            </w: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due March 15, 2028</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2.375% Notes due April 24, 2030</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3.80%</w:t>
            </w: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due August 2, 2042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4.80%</w:t>
            </w:r>
          </w:p>
        </w:tc>
        <w:tc>
          <w:tcPr>
            <w:tcW w:w="7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Notes due March 15, 2048</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3.125% Notes due April 24, 2050</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Finance leases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60" w:type="dxa"/>
            <w:vAlign w:val="bottom"/>
            <w:gridSpan w:val="3"/>
            <w:shd w:val="clear" w:color="auto" w:fill="CCEEFF"/>
          </w:tcPr>
          <w:p>
            <w:pPr>
              <w:spacing w:after="0" w:line="219"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6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4,561</w:t>
            </w:r>
          </w:p>
        </w:tc>
        <w:tc>
          <w:tcPr>
            <w:tcW w:w="120" w:type="dxa"/>
            <w:vAlign w:val="bottom"/>
          </w:tcPr>
          <w:p>
            <w:pPr>
              <w:spacing w:after="0"/>
              <w:rPr>
                <w:sz w:val="18"/>
                <w:szCs w:val="18"/>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6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Total long-term debt</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3,996</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5,010</w:t>
            </w:r>
          </w:p>
        </w:tc>
        <w:tc>
          <w:tcPr>
            <w:tcW w:w="0" w:type="dxa"/>
            <w:vAlign w:val="bottom"/>
          </w:tcPr>
          <w:p>
            <w:pPr>
              <w:spacing w:after="0"/>
              <w:rPr>
                <w:sz w:val="1"/>
                <w:szCs w:val="1"/>
                <w:color w:val="auto"/>
              </w:rPr>
            </w:pPr>
          </w:p>
        </w:tc>
      </w:tr>
      <w:tr>
        <w:trPr>
          <w:trHeight w:val="20"/>
        </w:trPr>
        <w:tc>
          <w:tcPr>
            <w:tcW w:w="80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auto"/>
              </w:rPr>
              <w:t>_______________________________________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8080" w:type="dxa"/>
            <w:vAlign w:val="bottom"/>
            <w:gridSpan w:val="4"/>
            <w:vMerge w:val="continue"/>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8080" w:type="dxa"/>
            <w:vAlign w:val="bottom"/>
            <w:gridSpan w:val="4"/>
          </w:tcPr>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Includes unamortized net discount/premium on debt issuances and debt issuance costs.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Principal amounts of long-term debt mature as follows: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shd w:val="clear" w:color="auto" w:fill="CCEEFF"/>
          </w:tcPr>
          <w:p>
            <w:pPr>
              <w:spacing w:after="0"/>
              <w:rPr>
                <w:sz w:val="19"/>
                <w:szCs w:val="19"/>
                <w:color w:val="auto"/>
              </w:rPr>
            </w:pPr>
          </w:p>
        </w:tc>
        <w:tc>
          <w:tcPr>
            <w:tcW w:w="7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shd w:val="clear" w:color="auto" w:fill="CCEEFF"/>
          </w:tcPr>
          <w:p>
            <w:pPr>
              <w:spacing w:after="0"/>
              <w:rPr>
                <w:sz w:val="19"/>
                <w:szCs w:val="19"/>
                <w:color w:val="auto"/>
              </w:rPr>
            </w:pPr>
          </w:p>
        </w:tc>
        <w:tc>
          <w:tcPr>
            <w:tcW w:w="7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Thereafter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2,863</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Debt Extinguishments</w:t>
      </w:r>
    </w:p>
    <w:p>
      <w:pPr>
        <w:spacing w:after="0" w:line="10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On March 4, 2022, we completed the redemption of all $450 million outstanding aggregate principal amount of our 2.50% Senior Notes due August 2, 2022. The consideration for the redemption was $453 million, including $3 million of premium. We recognized a loss of $4 million (including the $3 million of premium and other costs), which was recorded in Interest expense in the Consolidated Statement of Earnings. In addition, we paid accrued and unpaid interest on the redeemed notes through the date of settlement. We used a combination of cash on hand and short-term debt to fund the redemption.</w:t>
      </w:r>
    </w:p>
    <w:p>
      <w:pPr>
        <w:spacing w:after="0" w:line="41"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On January 22, 2020, we completed the redemption of all $500 million outstanding aggregate principal amount of our 4.25% Senior Notes due 2021. On January 24, 2020, we settled tender offers to purchase $1.2 billion in aggregate principal amount of certain senior unsecured debt, comprising $329 million of 3.30% Senior Notes due 2021, $634 million of 3.65% Senior Notes due 2023, and $237 million of 3.80% Senior Notes due 2043. The consideration for the redemption and the tender offers was $1.765 billion, including $65 million of premium. We recognized a loss of $75 million (including $65 million of premium, fees and other costs paid with the tender offers and unamortized debt issuance costs), which was recorded in Interest expense in the Consolidated Statement of Earnings. In addition, we paid accrued and unpaid interest on the purchased notes through the dates of settlement.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Debt Repayments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March 2021, we repaid our 3.30% $321 million notes and floating rate $400 million notes, and in May 2021, we repaid our 8.875% $200 million notes.</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2020, we also repaid our $499 million Senior Term Loan due 2021.</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Debt Issuances</w:t>
      </w:r>
    </w:p>
    <w:p>
      <w:pPr>
        <w:spacing w:after="0" w:line="10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On April 24, 2020, we issued senior notes in an aggregate principal amount of $1 billion, consisting of $500 million aggregate principal amount of notes bearing interest at a fixed rate of 2.375% per annum, due April 24, 2030, and $500 million aggregate principal amount of notes bearing interest at a fixed rate of 3.125% per annum, due April 24, 2050. On May 1, 2020, we used $300 million of the net proceeds to repay $300 million of borrowings outstanding under a revolving credit facility. The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61" w:name="page62"/>
    <w:bookmarkEnd w:id="61"/>
    <w:p>
      <w:pPr>
        <w:jc w:val="both"/>
        <w:spacing w:after="0" w:line="262" w:lineRule="auto"/>
        <w:rPr>
          <w:sz w:val="20"/>
          <w:szCs w:val="20"/>
          <w:color w:val="auto"/>
        </w:rPr>
      </w:pPr>
      <w:r>
        <w:rPr>
          <w:rFonts w:ascii="Times New Roman" w:cs="Times New Roman" w:eastAsia="Times New Roman" w:hAnsi="Times New Roman"/>
          <w:sz w:val="17"/>
          <w:szCs w:val="17"/>
          <w:color w:val="auto"/>
        </w:rPr>
        <w:t>2.375% Senior Notes due 2030 and the 3.125% Senior Notes due 2050 may each be redeemed at the applicable redemption price, in whole or in part, at our option at any time and from time to time prior to January 24, 2030, and October 24, 2049, respectively. Interest on each of the notes is due semi-annually on April 24 and October 24, commencing on October 24, 2020. The notes contain customary covenants and events of default. If a change of control triggering event occurs, we will be required to offer to purchase the notes at a purchase price equal to 101% of the principal amount plus accrued and unpaid interest, if any, to the purchase date.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Financial Instruments</w:t>
      </w:r>
    </w:p>
    <w:p>
      <w:pPr>
        <w:spacing w:after="0" w:line="105"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for hedge accounting treatment and instruments that are not designated as accounting hedges.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w:t>
      </w:r>
    </w:p>
    <w:p>
      <w:pPr>
        <w:spacing w:after="0" w:line="9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 risk-related contingent features in our derivative instruments as of July 31, 2022, or August 1, 2021.</w:t>
      </w:r>
    </w:p>
    <w:p>
      <w:pPr>
        <w:spacing w:after="0" w:line="51"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We are also exposed to credit risk from our customers. During 2022, our largest customer accounted for approximately 22% of consolidated net sales from continuing operations. Our five largest customers accounted for approximately 47% of our consolidated net sales from continuing operations in 2022.</w:t>
      </w:r>
    </w:p>
    <w:p>
      <w:pPr>
        <w:spacing w:after="0" w:line="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closely monitor credit risk associated with counterparties and customers.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Risk</w:t>
      </w:r>
    </w:p>
    <w:p>
      <w:pPr>
        <w:spacing w:after="0" w:line="107"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We are exposed to foreign currency exchange risk, primarily the Canadian dollar, related to third-party transactions and intercompany transactions. We utilize foreign exchange forward purchase and sale contracts to hedge these exposures. The contracts are either designated as cash-flow hedging instruments or are undesignated. We hedge portions of our forecasted foreign currency transaction exposure with foreign exchange forward contracts for periods typically up to 18 months. The notional amount of foreign exchange forward contracts accounted for as cash-flow hedges was $140 million as of July 31, 2022, and $134 million as of August 1, 2021.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effectiveness and the amounts recognized in earnings is recorded as a component of other comprehensive income (loss). The notional amount of foreign exchange forward contracts that are not designated as accounting hedges was $13 million as of July 31, 2022, and as of August 1, 2021.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94"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We manage our exposure to changes in interest rates by optimizing the use of variable-rate and fixed-rate debt and we may utilize interest rate swaps in order to maintain our variable-to-total debt ratio within targeted guidelines. Receive fixed rate/pay variable rate interest rate swaps are accounted for as fair-value hedges. Changes in the fair value on the portion of the derivative included in the assessment of hedge effectiveness of a fair-value hedge, along with the gain or loss on the underlying hedged asset or liability, are recorded in current-period earnings. We manage our exposure to interest rate volatility on future debt issuances by entering into forward starting interest rate swaps or treasury rate lock contracts to lock in the rate on the interest payments related to anticipated debt issuances. The contracts are either designated as cash-flow hedging instruments or are undesignated. Changes in the fair value on the portion of the derivative included in the assessment of hedge effectiveness of cash-flow hedges are recorded in Accumulated other comprehensive income (loss), and reclassified into Interest expense over the life of the debt. The change in fair value on undesignated instruments is recorded in Interest expense. There were no interest rate swaps outstanding as of July 31, 2022, or August 1, 2021.</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i w:val="1"/>
          <w:iCs w:val="1"/>
          <w:color w:val="auto"/>
        </w:rPr>
        <w:t>Commodity Price Risk</w:t>
      </w:r>
    </w:p>
    <w:p>
      <w:pPr>
        <w:spacing w:after="0" w:line="94"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natural gas, soybean oil, aluminum, cocoa, corn, soybean meal and butter. Commodity futures, options and swap contracts are either designated as cash-flow hedging instruments or are undesignated. We hedge a portion of commodity requirements for periods typically up to 18 months. The notional amount of commodity contracts designated as cash flow hedges was $3 million as of July 31, 2022, and $18 million as of August 1, 2021. Changes in the fair value on the portion of the derivative included in the assessment of hedge effectiveness of cash-flow hedges are recorded in other comprehensive income (loss), until earnings are affected by the variability of cash flows. The notional amount of commodity contracts not designated as accounting hedges was $254 million as of July 31, 2022, and $190 million as of August 1, 2021. The change in fair value on undesignated instruments is recorded in Cost of products sold.</w:t>
      </w:r>
    </w:p>
    <w:p>
      <w:pPr>
        <w:spacing w:after="0" w:line="64" w:lineRule="exact"/>
        <w:rPr>
          <w:sz w:val="20"/>
          <w:szCs w:val="20"/>
          <w:color w:val="auto"/>
        </w:rPr>
      </w:pPr>
    </w:p>
    <w:p>
      <w:pPr>
        <w:jc w:val="both"/>
        <w:ind w:firstLine="309"/>
        <w:spacing w:after="0" w:line="249" w:lineRule="auto"/>
        <w:rPr>
          <w:sz w:val="20"/>
          <w:szCs w:val="20"/>
          <w:color w:val="auto"/>
        </w:rPr>
      </w:pPr>
      <w:r>
        <w:rPr>
          <w:rFonts w:ascii="Times New Roman" w:cs="Times New Roman" w:eastAsia="Times New Roman" w:hAnsi="Times New Roman"/>
          <w:sz w:val="17"/>
          <w:szCs w:val="17"/>
          <w:color w:val="auto"/>
        </w:rPr>
        <w:t>We have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amount was approximately $39 million as of July 31, 2022, and $38 million as of August 1, 2021. The change in fair value on the embedded derivative is recorded in Cost of products sold.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Price Risk</w:t>
      </w:r>
    </w:p>
    <w:p>
      <w:pPr>
        <w:spacing w:after="0" w:line="94"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We enter into swap contracts which hedge a portion of exposures relating to certain deferred compensation obligations linked to the total return of the Vanguard Extended Market Index Plus Fund, the Vanguard Institutional Index Institutional Plus Fund, the Vanguard Short-Term Bond Index Fund and the Vanguard Total International Stock Index Fund. Prior to 2022, we had entered into swap contracts which hedged a portion of exposures linked to the total return of our capital stock. As of July 31, 2022, and August 1, 2021, we no longer hedge our exposure linked to the total return of our capital stock. These contracts are not designated as hedges for accounting purposes. Unrealized gains (losses) and settlements are included in Administrative expenses in the Consolidated Statements of Earnings. We enter into these contracts for periods typically not exceeding 12 months. The notional amounts of the contracts as of July 31, 2022, and August 1, 2021, were $50 million and $29 million, respectively.</w:t>
      </w:r>
    </w:p>
    <w:p>
      <w:pPr>
        <w:spacing w:after="0" w:line="61" w:lineRule="exact"/>
        <w:rPr>
          <w:sz w:val="20"/>
          <w:szCs w:val="20"/>
          <w:color w:val="auto"/>
        </w:rPr>
      </w:pPr>
    </w:p>
    <w:p>
      <w:pPr>
        <w:jc w:val="both"/>
        <w:ind w:firstLine="309"/>
        <w:spacing w:after="0" w:line="255" w:lineRule="auto"/>
        <w:rPr>
          <w:sz w:val="20"/>
          <w:szCs w:val="20"/>
          <w:color w:val="auto"/>
        </w:rPr>
      </w:pPr>
      <w:r>
        <w:rPr>
          <w:rFonts w:ascii="Times New Roman" w:cs="Times New Roman" w:eastAsia="Times New Roman" w:hAnsi="Times New Roman"/>
          <w:sz w:val="17"/>
          <w:szCs w:val="17"/>
          <w:color w:val="auto"/>
        </w:rPr>
        <w:t>The following tables summarize the fair value of derivative instruments on a gross basis as recorded in the Consolidated Balance Sheets as of July 31, 2022, and August 1,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15"/>
                <w:szCs w:val="15"/>
                <w:color w:val="auto"/>
              </w:rPr>
            </w:pPr>
          </w:p>
        </w:tc>
        <w:tc>
          <w:tcPr>
            <w:tcW w:w="432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 Derivatives</w:t>
            </w:r>
          </w:p>
        </w:tc>
        <w:tc>
          <w:tcPr>
            <w:tcW w:w="2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Derivatives designated as hedges:</w:t>
            </w:r>
          </w:p>
        </w:tc>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Commodity contracts</w:t>
            </w:r>
          </w:p>
        </w:tc>
        <w:tc>
          <w:tcPr>
            <w:tcW w:w="4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3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4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Foreign exchange forward contracts</w:t>
            </w:r>
          </w:p>
        </w:tc>
        <w:tc>
          <w:tcPr>
            <w:tcW w:w="43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derivatives designated as hedges</w:t>
            </w:r>
          </w:p>
        </w:tc>
        <w:tc>
          <w:tcPr>
            <w:tcW w:w="2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Derivatives not designated as hedges:</w:t>
            </w:r>
          </w:p>
        </w:tc>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Commodity contracts</w:t>
            </w:r>
          </w:p>
        </w:tc>
        <w:tc>
          <w:tcPr>
            <w:tcW w:w="4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3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Deferred compensation contracts</w:t>
            </w:r>
          </w:p>
        </w:tc>
        <w:tc>
          <w:tcPr>
            <w:tcW w:w="43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derivatives not designated as hedges</w:t>
            </w:r>
          </w:p>
        </w:tc>
        <w:tc>
          <w:tcPr>
            <w:tcW w:w="2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asset derivatives</w:t>
            </w:r>
          </w:p>
        </w:tc>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0" w:type="dxa"/>
            <w:vAlign w:val="bottom"/>
          </w:tcPr>
          <w:p>
            <w:pPr>
              <w:spacing w:after="0"/>
              <w:rPr>
                <w:sz w:val="24"/>
                <w:szCs w:val="24"/>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24"/>
                <w:szCs w:val="24"/>
                <w:color w:val="auto"/>
              </w:rPr>
            </w:pPr>
          </w:p>
        </w:tc>
        <w:tc>
          <w:tcPr>
            <w:tcW w:w="4320" w:type="dxa"/>
            <w:vAlign w:val="bottom"/>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Liability Derivatives</w:t>
            </w:r>
          </w:p>
        </w:tc>
        <w:tc>
          <w:tcPr>
            <w:tcW w:w="2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Derivatives designated as hedges:</w:t>
            </w:r>
          </w:p>
        </w:tc>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exchange forward contracts</w:t>
            </w:r>
          </w:p>
        </w:tc>
        <w:tc>
          <w:tcPr>
            <w:tcW w:w="20" w:type="dxa"/>
            <w:vAlign w:val="bottom"/>
            <w:shd w:val="clear" w:color="auto" w:fill="CCEEFF"/>
          </w:tcPr>
          <w:p>
            <w:pPr>
              <w:spacing w:after="0"/>
              <w:rPr>
                <w:sz w:val="19"/>
                <w:szCs w:val="19"/>
                <w:color w:val="auto"/>
              </w:rPr>
            </w:pPr>
          </w:p>
        </w:tc>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32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derivatives designated as hedges</w:t>
            </w:r>
          </w:p>
        </w:tc>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Derivatives not designated as hedges:</w:t>
            </w:r>
          </w:p>
        </w:tc>
        <w:tc>
          <w:tcPr>
            <w:tcW w:w="2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Commodity contracts</w:t>
            </w:r>
          </w:p>
        </w:tc>
        <w:tc>
          <w:tcPr>
            <w:tcW w:w="20" w:type="dxa"/>
            <w:vAlign w:val="bottom"/>
          </w:tcPr>
          <w:p>
            <w:pPr>
              <w:spacing w:after="0"/>
              <w:rPr>
                <w:sz w:val="19"/>
                <w:szCs w:val="19"/>
                <w:color w:val="auto"/>
              </w:rPr>
            </w:pPr>
          </w:p>
        </w:tc>
        <w:tc>
          <w:tcPr>
            <w:tcW w:w="4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32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compensation contracts</w:t>
            </w:r>
          </w:p>
        </w:tc>
        <w:tc>
          <w:tcPr>
            <w:tcW w:w="20" w:type="dxa"/>
            <w:vAlign w:val="bottom"/>
            <w:shd w:val="clear" w:color="auto" w:fill="CCEEFF"/>
          </w:tcPr>
          <w:p>
            <w:pPr>
              <w:spacing w:after="0"/>
              <w:rPr>
                <w:sz w:val="19"/>
                <w:szCs w:val="19"/>
                <w:color w:val="auto"/>
              </w:rPr>
            </w:pPr>
          </w:p>
        </w:tc>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derivatives not designated as hedges</w:t>
            </w:r>
          </w:p>
        </w:tc>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34</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liability derivatives</w:t>
            </w:r>
          </w:p>
        </w:tc>
        <w:tc>
          <w:tcPr>
            <w:tcW w:w="20" w:type="dxa"/>
            <w:vAlign w:val="bottom"/>
            <w:tcBorders>
              <w:bottom w:val="single" w:sz="8" w:color="CCEEFF"/>
            </w:tcBorders>
            <w:shd w:val="clear" w:color="auto" w:fill="CCEEFF"/>
          </w:tcPr>
          <w:p>
            <w:pPr>
              <w:spacing w:after="0"/>
              <w:rPr>
                <w:sz w:val="20"/>
                <w:szCs w:val="20"/>
                <w:color w:val="auto"/>
              </w:rPr>
            </w:pPr>
          </w:p>
        </w:tc>
        <w:tc>
          <w:tcPr>
            <w:tcW w:w="4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bottom w:val="single" w:sz="8" w:color="CCEEFF"/>
            </w:tcBorders>
            <w:gridSpan w:val="2"/>
            <w:vMerge w:val="restart"/>
          </w:tcPr>
          <w:p>
            <w:pPr>
              <w:ind w:left="1400"/>
              <w:spacing w:after="0"/>
              <w:rPr>
                <w:sz w:val="20"/>
                <w:szCs w:val="20"/>
                <w:color w:val="auto"/>
              </w:rPr>
            </w:pPr>
            <w:r>
              <w:rPr>
                <w:rFonts w:ascii="Times New Roman" w:cs="Times New Roman" w:eastAsia="Times New Roman" w:hAnsi="Times New Roman"/>
                <w:sz w:val="17"/>
                <w:szCs w:val="17"/>
                <w:color w:val="auto"/>
              </w:rPr>
              <w:t>63</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3"/>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9A9A9A"/>
            </w:tcBorders>
          </w:tcPr>
          <w:p>
            <w:pPr>
              <w:spacing w:after="0"/>
              <w:rPr>
                <w:sz w:val="17"/>
                <w:szCs w:val="17"/>
                <w:color w:val="auto"/>
              </w:rPr>
            </w:pPr>
          </w:p>
        </w:tc>
        <w:tc>
          <w:tcPr>
            <w:tcW w:w="41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42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63" w:name="page64"/>
    <w:bookmarkEnd w:id="63"/>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July 31, 2022, and August 1, 2021, would be adjusted as detailed in the following table: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3"/>
          </w:tcPr>
          <w:p>
            <w:pPr>
              <w:jc w:val="center"/>
              <w:ind w:right="120"/>
              <w:spacing w:after="0" w:line="123" w:lineRule="exact"/>
              <w:rPr>
                <w:sz w:val="20"/>
                <w:szCs w:val="20"/>
                <w:color w:val="auto"/>
              </w:rPr>
            </w:pPr>
            <w:r>
              <w:rPr>
                <w:rFonts w:ascii="Times New Roman" w:cs="Times New Roman" w:eastAsia="Times New Roman" w:hAnsi="Times New Roman"/>
                <w:sz w:val="14"/>
                <w:szCs w:val="14"/>
                <w:b w:val="1"/>
                <w:bCs w:val="1"/>
                <w:color w:val="auto"/>
                <w:w w:val="98"/>
              </w:rPr>
              <w:t>Gross Amounts Not</w:t>
            </w: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Gross Amounts Not</w:t>
            </w: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Gross Amounts</w:t>
            </w: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Offset in the</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Gross Amounts</w:t>
            </w:r>
          </w:p>
        </w:tc>
        <w:tc>
          <w:tcPr>
            <w:tcW w:w="14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Offset in the</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Presented in the</w:t>
            </w: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Presented in the</w:t>
            </w:r>
          </w:p>
        </w:tc>
        <w:tc>
          <w:tcPr>
            <w:tcW w:w="142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Consolidated Balance</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w w:val="98"/>
              </w:rPr>
              <w:t>Subject to Netting</w:t>
            </w:r>
          </w:p>
        </w:tc>
        <w:tc>
          <w:tcPr>
            <w:tcW w:w="200" w:type="dxa"/>
            <w:vAlign w:val="bottom"/>
          </w:tcPr>
          <w:p>
            <w:pPr>
              <w:spacing w:after="0"/>
              <w:rPr>
                <w:sz w:val="11"/>
                <w:szCs w:val="11"/>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2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98"/>
              </w:rPr>
              <w:t>Consolidated Balance</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w w:val="97"/>
              </w:rPr>
              <w:t>Sheet Subject to</w:t>
            </w:r>
          </w:p>
        </w:tc>
        <w:tc>
          <w:tcPr>
            <w:tcW w:w="180" w:type="dxa"/>
            <w:vAlign w:val="bottom"/>
          </w:tcPr>
          <w:p>
            <w:pPr>
              <w:spacing w:after="0"/>
              <w:rPr>
                <w:sz w:val="11"/>
                <w:szCs w:val="11"/>
                <w:color w:val="auto"/>
              </w:rPr>
            </w:pPr>
          </w:p>
        </w:tc>
        <w:tc>
          <w:tcPr>
            <w:tcW w:w="11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88"/>
        </w:trPr>
        <w:tc>
          <w:tcPr>
            <w:tcW w:w="2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Agreements</w:t>
            </w:r>
          </w:p>
        </w:tc>
        <w:tc>
          <w:tcPr>
            <w:tcW w:w="2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Netting Agreements</w:t>
            </w: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 derivatives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27"/>
        </w:trPr>
        <w:tc>
          <w:tcPr>
            <w:tcW w:w="2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liability derivatives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are required to maintain cash margin accounts in connection with funding the settlement of open positions for exchange-traded commodity derivative instruments. A cash margin asset balance of $8 million at July 31, 2022, and a liability balance of $14 million at August 1, 2021, were included in Other current assets and Accrued liabilities, respectively, in the Consolidated Balance Sheets.</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tables show the effect of our derivative instruments designated as cash-flow hedges for the years ended July 31, 2022, August 1, 2021,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 2020 in other comprehensive income (loss) (OCI) and the Consolidated Statements of Earnings: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6"/>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Total Cash-Flow Hedge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OCI Activity</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8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OCI derivative gain (loss) at beginning of year</w:t>
            </w:r>
          </w:p>
        </w:tc>
        <w:tc>
          <w:tcPr>
            <w:tcW w:w="6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1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portion of changes in fair value recognized in OCI:</w:t>
            </w:r>
          </w:p>
        </w:tc>
        <w:tc>
          <w:tcPr>
            <w:tcW w:w="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Commodity contracts</w:t>
            </w:r>
          </w:p>
        </w:tc>
        <w:tc>
          <w:tcPr>
            <w:tcW w:w="6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exchange forward contracts</w:t>
            </w:r>
          </w:p>
        </w:tc>
        <w:tc>
          <w:tcPr>
            <w:tcW w:w="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Amount of loss (gain) reclassified from OCI to earnings:</w:t>
            </w:r>
          </w:p>
        </w:tc>
        <w:tc>
          <w:tcPr>
            <w:tcW w:w="3460" w:type="dxa"/>
            <w:vAlign w:val="bottom"/>
            <w:gridSpan w:val="4"/>
            <w:shd w:val="clear" w:color="auto" w:fill="CCEEFF"/>
          </w:tcPr>
          <w:p>
            <w:pPr>
              <w:ind w:left="680"/>
              <w:spacing w:after="0" w:line="181" w:lineRule="exact"/>
              <w:rPr>
                <w:sz w:val="20"/>
                <w:szCs w:val="20"/>
                <w:color w:val="auto"/>
              </w:rPr>
            </w:pPr>
            <w:r>
              <w:rPr>
                <w:rFonts w:ascii="Times New Roman" w:cs="Times New Roman" w:eastAsia="Times New Roman" w:hAnsi="Times New Roman"/>
                <w:sz w:val="17"/>
                <w:szCs w:val="17"/>
                <w:b w:val="1"/>
                <w:bCs w:val="1"/>
                <w:color w:val="auto"/>
              </w:rPr>
              <w:t>Location in Earnings</w:t>
            </w: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48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540" w:type="dxa"/>
            <w:vAlign w:val="bottom"/>
            <w:shd w:val="clear" w:color="auto" w:fill="000000"/>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Commodity contracts</w:t>
            </w:r>
          </w:p>
        </w:tc>
        <w:tc>
          <w:tcPr>
            <w:tcW w:w="3460" w:type="dxa"/>
            <w:vAlign w:val="bottom"/>
            <w:gridSpan w:val="4"/>
          </w:tcPr>
          <w:p>
            <w:pPr>
              <w:ind w:left="680"/>
              <w:spacing w:after="0"/>
              <w:rPr>
                <w:sz w:val="20"/>
                <w:szCs w:val="20"/>
                <w:color w:val="auto"/>
              </w:rPr>
            </w:pPr>
            <w:r>
              <w:rPr>
                <w:rFonts w:ascii="Times New Roman" w:cs="Times New Roman" w:eastAsia="Times New Roman" w:hAnsi="Times New Roman"/>
                <w:sz w:val="17"/>
                <w:szCs w:val="17"/>
                <w:color w:val="auto"/>
              </w:rPr>
              <w:t>Cost of products sold</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exchange forward contracts</w:t>
            </w:r>
          </w:p>
        </w:tc>
        <w:tc>
          <w:tcPr>
            <w:tcW w:w="3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Cost of products sold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9"/>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exchange forward contracts</w:t>
            </w:r>
          </w:p>
        </w:tc>
        <w:tc>
          <w:tcPr>
            <w:tcW w:w="3460" w:type="dxa"/>
            <w:vAlign w:val="bottom"/>
            <w:gridSpan w:val="4"/>
          </w:tcPr>
          <w:p>
            <w:pPr>
              <w:ind w:left="680"/>
              <w:spacing w:after="0"/>
              <w:rPr>
                <w:sz w:val="20"/>
                <w:szCs w:val="20"/>
                <w:color w:val="auto"/>
              </w:rPr>
            </w:pPr>
            <w:r>
              <w:rPr>
                <w:rFonts w:ascii="Times New Roman" w:cs="Times New Roman" w:eastAsia="Times New Roman" w:hAnsi="Times New Roman"/>
                <w:sz w:val="17"/>
                <w:szCs w:val="17"/>
                <w:color w:val="auto"/>
              </w:rPr>
              <w:t>Other expenses / (income)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7"/>
        </w:trPr>
        <w:tc>
          <w:tcPr>
            <w:tcW w:w="4860" w:type="dxa"/>
            <w:vAlign w:val="bottom"/>
            <w:shd w:val="clear" w:color="auto" w:fill="CCEEFF"/>
          </w:tcPr>
          <w:p>
            <w:pPr>
              <w:ind w:left="140"/>
              <w:spacing w:after="0" w:line="167" w:lineRule="exact"/>
              <w:rPr>
                <w:sz w:val="20"/>
                <w:szCs w:val="20"/>
                <w:color w:val="auto"/>
              </w:rPr>
            </w:pPr>
            <w:r>
              <w:rPr>
                <w:rFonts w:ascii="Times New Roman" w:cs="Times New Roman" w:eastAsia="Times New Roman" w:hAnsi="Times New Roman"/>
                <w:sz w:val="17"/>
                <w:szCs w:val="17"/>
                <w:color w:val="auto"/>
              </w:rPr>
              <w:t>Foreign exchange forward contracts</w:t>
            </w:r>
          </w:p>
        </w:tc>
        <w:tc>
          <w:tcPr>
            <w:tcW w:w="3460" w:type="dxa"/>
            <w:vAlign w:val="bottom"/>
            <w:gridSpan w:val="4"/>
            <w:shd w:val="clear" w:color="auto" w:fill="CCEEFF"/>
          </w:tcPr>
          <w:p>
            <w:pPr>
              <w:ind w:left="680"/>
              <w:spacing w:after="0" w:line="167" w:lineRule="exact"/>
              <w:rPr>
                <w:sz w:val="20"/>
                <w:szCs w:val="20"/>
                <w:color w:val="auto"/>
              </w:rPr>
            </w:pPr>
            <w:r>
              <w:rPr>
                <w:rFonts w:ascii="Times New Roman" w:cs="Times New Roman" w:eastAsia="Times New Roman" w:hAnsi="Times New Roman"/>
                <w:sz w:val="17"/>
                <w:szCs w:val="17"/>
                <w:color w:val="auto"/>
              </w:rPr>
              <w:t>Earnings (loss) from discontinued</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860" w:type="dxa"/>
            <w:vAlign w:val="bottom"/>
            <w:shd w:val="clear" w:color="auto" w:fill="CCEEFF"/>
          </w:tcPr>
          <w:p>
            <w:pPr>
              <w:spacing w:after="0"/>
              <w:rPr>
                <w:sz w:val="20"/>
                <w:szCs w:val="20"/>
                <w:color w:val="auto"/>
              </w:rPr>
            </w:pPr>
          </w:p>
        </w:tc>
        <w:tc>
          <w:tcPr>
            <w:tcW w:w="3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operations</w:t>
            </w:r>
          </w:p>
        </w:tc>
        <w:tc>
          <w:tcPr>
            <w:tcW w:w="8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9"/>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Forward starting interest rate swaps</w:t>
            </w:r>
          </w:p>
        </w:tc>
        <w:tc>
          <w:tcPr>
            <w:tcW w:w="3460" w:type="dxa"/>
            <w:vAlign w:val="bottom"/>
            <w:gridSpan w:val="4"/>
          </w:tcPr>
          <w:p>
            <w:pPr>
              <w:ind w:left="680"/>
              <w:spacing w:after="0"/>
              <w:rPr>
                <w:sz w:val="20"/>
                <w:szCs w:val="20"/>
                <w:color w:val="auto"/>
              </w:rPr>
            </w:pPr>
            <w:r>
              <w:rPr>
                <w:rFonts w:ascii="Times New Roman" w:cs="Times New Roman" w:eastAsia="Times New Roman" w:hAnsi="Times New Roman"/>
                <w:sz w:val="17"/>
                <w:szCs w:val="17"/>
                <w:color w:val="auto"/>
              </w:rPr>
              <w:t>Interest expense</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37"/>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OCI derivative gain (loss) at end of year</w:t>
            </w:r>
          </w:p>
        </w:tc>
        <w:tc>
          <w:tcPr>
            <w:tcW w:w="68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Based on current valuations, the amount expected to be reclassified from OCI into earnings within the next 12 months is a gain of $4 million.</w:t>
      </w:r>
    </w:p>
    <w:p>
      <w:pPr>
        <w:spacing w:after="0" w:line="10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following table shows the total amounts of line items presented in the Consolidated Statements of Earnings for the years ended 2022, 2021, and 2020 in which the effects of derivative instruments designated as cash-flow hedges are recorded and the total effect of hedge activity on these line items are as follows:</w:t>
      </w:r>
    </w:p>
    <w:p>
      <w:pPr>
        <w:sectPr>
          <w:pgSz w:w="11900" w:h="16838" w:orient="portrait"/>
          <w:cols w:equalWidth="0" w:num="1">
            <w:col w:w="11240"/>
          </w:cols>
          <w:pgMar w:left="320" w:top="947"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Consolidated Statements of Earnings:</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Loss (gain) on cash-flow hedges:</w:t>
      </w:r>
    </w:p>
    <w:p>
      <w:pPr>
        <w:spacing w:after="0" w:line="27" w:lineRule="exact"/>
        <w:rPr>
          <w:sz w:val="20"/>
          <w:szCs w:val="20"/>
          <w:color w:val="auto"/>
        </w:rPr>
      </w:pPr>
    </w:p>
    <w:p>
      <w:pPr>
        <w:ind w:left="140" w:right="20"/>
        <w:spacing w:after="0" w:line="237" w:lineRule="auto"/>
        <w:rPr>
          <w:sz w:val="20"/>
          <w:szCs w:val="20"/>
          <w:color w:val="auto"/>
        </w:rPr>
      </w:pPr>
      <w:r>
        <w:rPr>
          <w:rFonts w:ascii="Times New Roman" w:cs="Times New Roman" w:eastAsia="Times New Roman" w:hAnsi="Times New Roman"/>
          <w:sz w:val="17"/>
          <w:szCs w:val="17"/>
          <w:color w:val="auto"/>
        </w:rPr>
        <w:t>Amount of loss (gain) reclassified from OCI to earnings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2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0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0"/>
                <w:szCs w:val="10"/>
                <w:color w:val="auto"/>
              </w:rPr>
            </w:pPr>
          </w:p>
        </w:tc>
        <w:tc>
          <w:tcPr>
            <w:tcW w:w="7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0"/>
                <w:szCs w:val="10"/>
                <w:color w:val="auto"/>
              </w:rPr>
            </w:pPr>
          </w:p>
        </w:tc>
        <w:tc>
          <w:tcPr>
            <w:tcW w:w="7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0"/>
                <w:szCs w:val="10"/>
                <w:color w:val="auto"/>
              </w:rPr>
            </w:pPr>
          </w:p>
        </w:tc>
        <w:tc>
          <w:tcPr>
            <w:tcW w:w="1000" w:type="dxa"/>
            <w:vAlign w:val="bottom"/>
          </w:tcPr>
          <w:p>
            <w:pPr>
              <w:jc w:val="right"/>
              <w:ind w:right="43"/>
              <w:spacing w:after="0" w:line="122" w:lineRule="exact"/>
              <w:rPr>
                <w:sz w:val="20"/>
                <w:szCs w:val="20"/>
                <w:color w:val="auto"/>
              </w:rPr>
            </w:pPr>
            <w:r>
              <w:rPr>
                <w:rFonts w:ascii="Times New Roman" w:cs="Times New Roman" w:eastAsia="Times New Roman" w:hAnsi="Times New Roman"/>
                <w:sz w:val="14"/>
                <w:szCs w:val="14"/>
                <w:b w:val="1"/>
                <w:bCs w:val="1"/>
                <w:color w:val="auto"/>
                <w:w w:val="96"/>
              </w:rPr>
              <w:t>Earnings (loss)</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7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4"/>
              </w:rPr>
              <w:t>products</w:t>
            </w: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products</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expenses /</w:t>
            </w: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products</w:t>
            </w: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1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from discontinued</w:t>
            </w: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0"/>
              </w:rPr>
              <w:t>sold</w:t>
            </w:r>
          </w:p>
        </w:tc>
        <w:tc>
          <w:tcPr>
            <w:tcW w:w="10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0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12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6"/>
                <w:szCs w:val="16"/>
                <w:color w:val="auto"/>
              </w:rPr>
            </w:pPr>
          </w:p>
        </w:tc>
        <w:tc>
          <w:tcPr>
            <w:tcW w:w="100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225"/>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5,935</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189</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7"/>
                <w:szCs w:val="17"/>
                <w:color w:val="auto"/>
              </w:rPr>
              <w:t>5,665</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7"/>
                <w:szCs w:val="17"/>
                <w:color w:val="auto"/>
              </w:rPr>
              <w:t>5,692</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tcPr>
          <w:p>
            <w:pPr>
              <w:spacing w:after="0"/>
              <w:rPr>
                <w:sz w:val="19"/>
                <w:szCs w:val="19"/>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1,036</w:t>
            </w:r>
          </w:p>
        </w:tc>
        <w:tc>
          <w:tcPr>
            <w:tcW w:w="0" w:type="dxa"/>
            <w:vAlign w:val="bottom"/>
          </w:tcPr>
          <w:p>
            <w:pPr>
              <w:spacing w:after="0"/>
              <w:rPr>
                <w:sz w:val="1"/>
                <w:szCs w:val="1"/>
                <w:color w:val="auto"/>
              </w:rPr>
            </w:pPr>
          </w:p>
        </w:tc>
      </w:tr>
      <w:tr>
        <w:trPr>
          <w:trHeight w:val="868"/>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-702945</wp:posOffset>
            </wp:positionV>
            <wp:extent cx="7138670" cy="147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-392430</wp:posOffset>
            </wp:positionV>
            <wp:extent cx="7138670" cy="1390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80" w:space="720"/>
            <w:col w:w="7140"/>
          </w:cols>
          <w:pgMar w:left="320" w:top="947" w:right="339" w:bottom="1440" w:gutter="0" w:footer="0" w:header="0"/>
          <w:type w:val="continuous"/>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134620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type w:val="continuous"/>
        </w:sectPr>
      </w:pPr>
    </w:p>
    <w:bookmarkStart w:id="64" w:name="page65"/>
    <w:bookmarkEnd w:id="64"/>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amount excluded from effectiveness testing recognized in each line item of earnings using an amortization approach was not material in all periods presented.</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shows the effects of our derivative instruments not designated as hedges in the Consolidated Statements of Earnings: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6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Location of Loss (Gain)</w:t>
            </w:r>
          </w:p>
        </w:tc>
        <w:tc>
          <w:tcPr>
            <w:tcW w:w="260" w:type="dxa"/>
            <w:vAlign w:val="bottom"/>
          </w:tcPr>
          <w:p>
            <w:pPr>
              <w:spacing w:after="0"/>
              <w:rPr>
                <w:sz w:val="13"/>
                <w:szCs w:val="13"/>
                <w:color w:val="auto"/>
              </w:rPr>
            </w:pPr>
          </w:p>
        </w:tc>
        <w:tc>
          <w:tcPr>
            <w:tcW w:w="82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7"/>
        </w:trPr>
        <w:tc>
          <w:tcPr>
            <w:tcW w:w="4500" w:type="dxa"/>
            <w:vAlign w:val="bottom"/>
            <w:vMerge w:val="continue"/>
          </w:tcPr>
          <w:p>
            <w:pPr>
              <w:spacing w:after="0"/>
              <w:rPr>
                <w:sz w:val="16"/>
                <w:szCs w:val="16"/>
                <w:color w:val="auto"/>
              </w:rPr>
            </w:pPr>
          </w:p>
        </w:tc>
        <w:tc>
          <w:tcPr>
            <w:tcW w:w="326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Recognized in Earnings</w:t>
            </w: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forward contracts</w:t>
            </w:r>
          </w:p>
        </w:tc>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products sold</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9"/>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forward contracts</w:t>
            </w: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expenses / (income)</w:t>
            </w: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Commodity contracts</w:t>
            </w: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products sold</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19"/>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compensation contracts</w:t>
            </w: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Administrative expenses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Treasury rate lock contracts</w:t>
            </w: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2"/>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Variable Interest Entity</w:t>
      </w:r>
    </w:p>
    <w:p>
      <w:pPr>
        <w:spacing w:after="0" w:line="105"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In February 2016, we agreed to make a capital commitment subject to certain qualifications of up to $125 million to Acre, a limited partnership formed to make venture capital investments in innovative new companies in food and food-related industries. Acre was managed by its general partner, Acre Ventures GP, LLC, which was independent of us. We were the sole limited partner of Acre and owned a 99.8% interest. Acre was a VIE. We entered into an agreement to sell our interest in Acre on April 26, 2020, and completed the sale on May 8, 2020, for $30 million resulting in a loss of $45 million recognized in the third quarter of 2020 as a result of the pending sale. We consolidated Acre and accounted for the third party ownership as a noncontrolling interest. Through the date of the sale, we funded $86 million of the capital commitment.</w:t>
      </w:r>
    </w:p>
    <w:p>
      <w:pPr>
        <w:spacing w:after="0" w:line="6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Acre elected the fair value option to account for qualifying investments to more appropriately reflect the value of the investments in the financial statements. Changes in the fair values of investments for which the fair value option was elected were included in Other expenses / (income) on the Consolidated Statements of Earnings.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Fair Value Measurements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categorize financial assets and liabilities based on the following fair value hierarchy:</w:t>
      </w:r>
    </w:p>
    <w:p>
      <w:pPr>
        <w:spacing w:after="0" w:line="101" w:lineRule="exact"/>
        <w:rPr>
          <w:sz w:val="20"/>
          <w:szCs w:val="20"/>
          <w:color w:val="auto"/>
        </w:rPr>
      </w:pPr>
    </w:p>
    <w:p>
      <w:pPr>
        <w:ind w:left="620" w:hanging="308"/>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Observable inputs that reflect quoted prices (unadjusted) for identical assets or liabilities in active markets.</w:t>
      </w:r>
    </w:p>
    <w:p>
      <w:pPr>
        <w:spacing w:after="0" w:line="87" w:lineRule="exact"/>
        <w:rPr>
          <w:rFonts w:ascii="Times New Roman" w:cs="Times New Roman" w:eastAsia="Times New Roman" w:hAnsi="Times New Roman"/>
          <w:sz w:val="17"/>
          <w:szCs w:val="17"/>
          <w:color w:val="auto"/>
        </w:rPr>
      </w:pPr>
    </w:p>
    <w:p>
      <w:pPr>
        <w:ind w:left="620" w:right="340" w:hanging="308"/>
        <w:spacing w:after="0" w:line="286" w:lineRule="auto"/>
        <w:tabs>
          <w:tab w:leader="none" w:pos="61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quoted prices included in Level 1 that are observable for the asset or liability through corroboration with observable market data.</w:t>
      </w:r>
    </w:p>
    <w:p>
      <w:pPr>
        <w:spacing w:after="0" w:line="36"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which are valued based on our estimates of assumptions that market participants would use in pricing the asset or liability.</w:t>
      </w:r>
    </w:p>
    <w:p>
      <w:pPr>
        <w:spacing w:after="0" w:line="101" w:lineRule="exact"/>
        <w:rPr>
          <w:sz w:val="20"/>
          <w:szCs w:val="20"/>
          <w:color w:val="auto"/>
        </w:rPr>
      </w:pPr>
    </w:p>
    <w:p>
      <w:pPr>
        <w:ind w:firstLine="309"/>
        <w:spacing w:after="0" w:line="263" w:lineRule="auto"/>
        <w:rPr>
          <w:sz w:val="20"/>
          <w:szCs w:val="20"/>
          <w:color w:val="auto"/>
        </w:rPr>
      </w:pPr>
      <w:r>
        <w:rPr>
          <w:rFonts w:ascii="Times New Roman" w:cs="Times New Roman" w:eastAsia="Times New Roman" w:hAnsi="Times New Roman"/>
          <w:sz w:val="17"/>
          <w:szCs w:val="17"/>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w:t>
      </w:r>
    </w:p>
    <w:p>
      <w:pPr>
        <w:spacing w:after="0" w:line="1" w:lineRule="exact"/>
        <w:rPr>
          <w:sz w:val="20"/>
          <w:szCs w:val="20"/>
          <w:color w:val="auto"/>
        </w:rPr>
      </w:pPr>
    </w:p>
    <w:p>
      <w:pPr>
        <w:ind w:firstLine="3"/>
        <w:spacing w:after="0" w:line="265" w:lineRule="auto"/>
        <w:tabs>
          <w:tab w:leader="none" w:pos="181"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65" w:name="page66"/>
    <w:bookmarkEnd w:id="65"/>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 on a Recurring Basis</w:t>
      </w:r>
    </w:p>
    <w:p>
      <w:pPr>
        <w:spacing w:after="0" w:line="94"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The following tables present our financial assets and liabilities that are measured at fair value on a recurring basis as of July 31, 2022, and August 1, 2021, consistent with the fair value hierarchy:</w:t>
      </w:r>
    </w:p>
    <w:tbl>
      <w:tblPr>
        <w:tblLayout w:type="fixed"/>
        <w:tblInd w:w="0" w:type="dxa"/>
        <w:tblCellMar>
          <w:top w:w="0" w:type="dxa"/>
          <w:left w:w="0" w:type="dxa"/>
          <w:bottom w:w="0" w:type="dxa"/>
          <w:right w:w="0" w:type="dxa"/>
        </w:tblCellMar>
      </w:tblPr>
      <w:tr>
        <w:trPr>
          <w:trHeight w:val="157"/>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0" w:type="dxa"/>
            <w:vAlign w:val="bottom"/>
            <w:gridSpan w:val="10"/>
          </w:tcPr>
          <w:p>
            <w:pPr>
              <w:jc w:val="center"/>
              <w:ind w:left="499"/>
              <w:spacing w:after="0" w:line="157" w:lineRule="exact"/>
              <w:rPr>
                <w:sz w:val="20"/>
                <w:szCs w:val="20"/>
                <w:color w:val="auto"/>
              </w:rPr>
            </w:pPr>
            <w:r>
              <w:rPr>
                <w:rFonts w:ascii="Times New Roman" w:cs="Times New Roman" w:eastAsia="Times New Roman" w:hAnsi="Times New Roman"/>
                <w:sz w:val="14"/>
                <w:szCs w:val="14"/>
                <w:b w:val="1"/>
                <w:bCs w:val="1"/>
                <w:color w:val="auto"/>
                <w:w w:val="97"/>
              </w:rPr>
              <w:t>Fair Value Measurements at</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gridSpan w:val="10"/>
          </w:tcPr>
          <w:p>
            <w:pPr>
              <w:jc w:val="center"/>
              <w:ind w:left="499"/>
              <w:spacing w:after="0" w:line="157" w:lineRule="exact"/>
              <w:rPr>
                <w:sz w:val="20"/>
                <w:szCs w:val="20"/>
                <w:color w:val="auto"/>
              </w:rPr>
            </w:pPr>
            <w:r>
              <w:rPr>
                <w:rFonts w:ascii="Times New Roman" w:cs="Times New Roman" w:eastAsia="Times New Roman" w:hAnsi="Times New Roman"/>
                <w:sz w:val="14"/>
                <w:szCs w:val="14"/>
                <w:b w:val="1"/>
                <w:bCs w:val="1"/>
                <w:color w:val="auto"/>
                <w:w w:val="97"/>
              </w:rPr>
              <w:t>Fair Value Measurements at</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7"/>
            <w:vMerge w:val="restart"/>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July 31, 2022 Using</w:t>
            </w: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6"/>
            <w:vMerge w:val="restart"/>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August 1, 2021 Using</w:t>
            </w: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3"/>
            <w:vMerge w:val="restart"/>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80" w:type="dxa"/>
            <w:vAlign w:val="bottom"/>
            <w:gridSpan w:val="7"/>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3"/>
            <w:vMerge w:val="restart"/>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3"/>
              </w:rPr>
              <w:t>as of</w:t>
            </w: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8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00" w:type="dxa"/>
            <w:vAlign w:val="bottom"/>
            <w:gridSpan w:val="8"/>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Fair Value Hierarchy</w:t>
            </w: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6"/>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Fair Value Hierarchy</w:t>
            </w: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rPr>
              <w:t>as of</w:t>
            </w: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8"/>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jc w:val="center"/>
              <w:ind w:right="280"/>
              <w:spacing w:after="0" w:line="121"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6"/>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July 31, 2022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240" w:type="dxa"/>
            <w:vAlign w:val="bottom"/>
          </w:tcPr>
          <w:p>
            <w:pPr>
              <w:spacing w:after="0"/>
              <w:rPr>
                <w:sz w:val="15"/>
                <w:szCs w:val="15"/>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1760" w:type="dxa"/>
            <w:vAlign w:val="bottom"/>
            <w:tcBorders>
              <w:top w:val="single" w:sz="8" w:color="CCEEFF"/>
            </w:tcBorders>
            <w:gridSpan w:val="3"/>
            <w:shd w:val="clear" w:color="auto" w:fill="CCEEFF"/>
          </w:tcPr>
          <w:p>
            <w:pPr>
              <w:spacing w:after="0" w:line="165" w:lineRule="exact"/>
              <w:rPr>
                <w:sz w:val="20"/>
                <w:szCs w:val="20"/>
                <w:color w:val="auto"/>
              </w:rPr>
            </w:pPr>
            <w:r>
              <w:rPr>
                <w:rFonts w:ascii="Times New Roman" w:cs="Times New Roman" w:eastAsia="Times New Roman" w:hAnsi="Times New Roman"/>
                <w:sz w:val="17"/>
                <w:szCs w:val="17"/>
                <w:color w:val="auto"/>
              </w:rPr>
              <w:t>Assets</w:t>
            </w: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40" w:type="dxa"/>
            <w:vAlign w:val="bottom"/>
            <w:tcBorders>
              <w:right w:val="single" w:sz="8" w:color="auto"/>
            </w:tcBorders>
            <w:shd w:val="clear" w:color="auto" w:fill="CCEEFF"/>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1760" w:type="dxa"/>
            <w:vAlign w:val="bottom"/>
            <w:gridSpan w:val="3"/>
          </w:tcPr>
          <w:p>
            <w:pPr>
              <w:ind w:left="100"/>
              <w:spacing w:after="0" w:line="172" w:lineRule="exact"/>
              <w:rPr>
                <w:sz w:val="20"/>
                <w:szCs w:val="20"/>
                <w:color w:val="auto"/>
              </w:rPr>
            </w:pPr>
            <w:r>
              <w:rPr>
                <w:rFonts w:ascii="Times New Roman" w:cs="Times New Roman" w:eastAsia="Times New Roman" w:hAnsi="Times New Roman"/>
                <w:sz w:val="17"/>
                <w:szCs w:val="17"/>
                <w:color w:val="auto"/>
              </w:rPr>
              <w:t>Foreign exchange</w:t>
            </w:r>
          </w:p>
        </w:tc>
        <w:tc>
          <w:tcPr>
            <w:tcW w:w="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1760" w:type="dxa"/>
            <w:vAlign w:val="bottom"/>
            <w:gridSpan w:val="3"/>
          </w:tcPr>
          <w:p>
            <w:pPr>
              <w:ind w:left="100"/>
              <w:spacing w:after="0" w:line="227" w:lineRule="exact"/>
              <w:rPr>
                <w:sz w:val="20"/>
                <w:szCs w:val="20"/>
                <w:color w:val="auto"/>
              </w:rPr>
            </w:pPr>
            <w:r>
              <w:rPr>
                <w:rFonts w:ascii="Times New Roman" w:cs="Times New Roman" w:eastAsia="Times New Roman" w:hAnsi="Times New Roman"/>
                <w:sz w:val="17"/>
                <w:szCs w:val="17"/>
                <w:color w:val="auto"/>
              </w:rPr>
              <w:t>forward contracts</w:t>
            </w:r>
            <w:r>
              <w:rPr>
                <w:rFonts w:ascii="Times New Roman" w:cs="Times New Roman" w:eastAsia="Times New Roman" w:hAnsi="Times New Roman"/>
                <w:sz w:val="22"/>
                <w:szCs w:val="22"/>
                <w:color w:val="auto"/>
                <w:vertAlign w:val="superscript"/>
              </w:rPr>
              <w:t>(1)</w:t>
            </w:r>
          </w:p>
        </w:tc>
        <w:tc>
          <w:tcPr>
            <w:tcW w:w="14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20" w:type="dxa"/>
            <w:vAlign w:val="bottom"/>
            <w:gridSpan w:val="4"/>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0" w:type="dxa"/>
            <w:vAlign w:val="bottom"/>
            <w:tcBorders>
              <w:right w:val="single" w:sz="8" w:color="CCEEFF"/>
            </w:tcBorders>
            <w:shd w:val="clear" w:color="auto" w:fill="CCEEFF"/>
          </w:tcPr>
          <w:p>
            <w:pPr>
              <w:spacing w:after="0"/>
              <w:rPr>
                <w:sz w:val="14"/>
                <w:szCs w:val="14"/>
                <w:color w:val="auto"/>
              </w:rPr>
            </w:pPr>
          </w:p>
        </w:tc>
        <w:tc>
          <w:tcPr>
            <w:tcW w:w="1760" w:type="dxa"/>
            <w:vAlign w:val="bottom"/>
            <w:gridSpan w:val="3"/>
            <w:shd w:val="clear" w:color="auto" w:fill="CCEEFF"/>
          </w:tcPr>
          <w:p>
            <w:pPr>
              <w:ind w:left="100"/>
              <w:spacing w:after="0" w:line="172" w:lineRule="exact"/>
              <w:rPr>
                <w:sz w:val="20"/>
                <w:szCs w:val="20"/>
                <w:color w:val="auto"/>
              </w:rPr>
            </w:pPr>
            <w:r>
              <w:rPr>
                <w:rFonts w:ascii="Times New Roman" w:cs="Times New Roman" w:eastAsia="Times New Roman" w:hAnsi="Times New Roman"/>
                <w:sz w:val="17"/>
                <w:szCs w:val="17"/>
                <w:color w:val="auto"/>
              </w:rPr>
              <w:t>Commodity derivative</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40" w:type="dxa"/>
            <w:vAlign w:val="bottom"/>
            <w:tcBorders>
              <w:right w:val="single" w:sz="8" w:color="CCEEFF"/>
            </w:tcBorders>
            <w:shd w:val="clear" w:color="auto" w:fill="CCEEFF"/>
          </w:tcPr>
          <w:p>
            <w:pPr>
              <w:spacing w:after="0"/>
              <w:rPr>
                <w:sz w:val="19"/>
                <w:szCs w:val="19"/>
                <w:color w:val="auto"/>
              </w:rPr>
            </w:pPr>
          </w:p>
        </w:tc>
        <w:tc>
          <w:tcPr>
            <w:tcW w:w="1760" w:type="dxa"/>
            <w:vAlign w:val="bottom"/>
            <w:gridSpan w:val="3"/>
            <w:shd w:val="clear" w:color="auto" w:fill="CCEEFF"/>
          </w:tcPr>
          <w:p>
            <w:pPr>
              <w:ind w:left="100"/>
              <w:spacing w:after="0" w:line="227" w:lineRule="exact"/>
              <w:rPr>
                <w:sz w:val="20"/>
                <w:szCs w:val="20"/>
                <w:color w:val="auto"/>
              </w:rPr>
            </w:pPr>
            <w:r>
              <w:rPr>
                <w:rFonts w:ascii="Times New Roman" w:cs="Times New Roman" w:eastAsia="Times New Roman" w:hAnsi="Times New Roman"/>
                <w:sz w:val="17"/>
                <w:szCs w:val="17"/>
                <w:color w:val="auto"/>
              </w:rPr>
              <w:t>contracts</w:t>
            </w:r>
            <w:r>
              <w:rPr>
                <w:rFonts w:ascii="Times New Roman" w:cs="Times New Roman" w:eastAsia="Times New Roman" w:hAnsi="Times New Roman"/>
                <w:sz w:val="22"/>
                <w:szCs w:val="22"/>
                <w:color w:val="auto"/>
                <w:vertAlign w:val="superscript"/>
              </w:rPr>
              <w:t>(2)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760" w:type="dxa"/>
            <w:vAlign w:val="bottom"/>
            <w:gridSpan w:val="3"/>
          </w:tcPr>
          <w:p>
            <w:pPr>
              <w:ind w:left="100"/>
              <w:spacing w:after="0" w:line="172" w:lineRule="exact"/>
              <w:rPr>
                <w:sz w:val="20"/>
                <w:szCs w:val="20"/>
                <w:color w:val="auto"/>
              </w:rPr>
            </w:pPr>
            <w:r>
              <w:rPr>
                <w:rFonts w:ascii="Times New Roman" w:cs="Times New Roman" w:eastAsia="Times New Roman" w:hAnsi="Times New Roman"/>
                <w:sz w:val="17"/>
                <w:szCs w:val="17"/>
                <w:color w:val="auto"/>
              </w:rPr>
              <w:t>Deferred compensation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4"/>
                <w:szCs w:val="14"/>
                <w:color w:val="auto"/>
              </w:rPr>
            </w:pPr>
          </w:p>
        </w:tc>
        <w:tc>
          <w:tcPr>
            <w:tcW w:w="9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1760" w:type="dxa"/>
            <w:vAlign w:val="bottom"/>
            <w:gridSpan w:val="3"/>
          </w:tcPr>
          <w:p>
            <w:pPr>
              <w:ind w:left="100"/>
              <w:spacing w:after="0" w:line="227" w:lineRule="exact"/>
              <w:rPr>
                <w:sz w:val="20"/>
                <w:szCs w:val="20"/>
                <w:color w:val="auto"/>
              </w:rPr>
            </w:pPr>
            <w:r>
              <w:rPr>
                <w:rFonts w:ascii="Times New Roman" w:cs="Times New Roman" w:eastAsia="Times New Roman" w:hAnsi="Times New Roman"/>
                <w:sz w:val="17"/>
                <w:szCs w:val="17"/>
                <w:color w:val="auto"/>
              </w:rPr>
              <w:t>derivative contracts</w:t>
            </w:r>
            <w:r>
              <w:rPr>
                <w:rFonts w:ascii="Times New Roman" w:cs="Times New Roman" w:eastAsia="Times New Roman" w:hAnsi="Times New Roman"/>
                <w:sz w:val="22"/>
                <w:szCs w:val="22"/>
                <w:color w:val="auto"/>
                <w:vertAlign w:val="superscript"/>
              </w:rPr>
              <w:t>(3)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4"/>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0" w:type="dxa"/>
            <w:vAlign w:val="bottom"/>
            <w:tcBorders>
              <w:right w:val="single" w:sz="8" w:color="CCEEFF"/>
            </w:tcBorders>
            <w:shd w:val="clear" w:color="auto" w:fill="CCEEFF"/>
          </w:tcPr>
          <w:p>
            <w:pPr>
              <w:spacing w:after="0"/>
              <w:rPr>
                <w:sz w:val="14"/>
                <w:szCs w:val="14"/>
                <w:color w:val="auto"/>
              </w:rPr>
            </w:pPr>
          </w:p>
        </w:tc>
        <w:tc>
          <w:tcPr>
            <w:tcW w:w="1760" w:type="dxa"/>
            <w:vAlign w:val="bottom"/>
            <w:gridSpan w:val="3"/>
            <w:shd w:val="clear" w:color="auto" w:fill="CCEEFF"/>
          </w:tcPr>
          <w:p>
            <w:pPr>
              <w:ind w:left="100"/>
              <w:spacing w:after="0" w:line="172" w:lineRule="exact"/>
              <w:rPr>
                <w:sz w:val="20"/>
                <w:szCs w:val="20"/>
                <w:color w:val="auto"/>
              </w:rPr>
            </w:pPr>
            <w:r>
              <w:rPr>
                <w:rFonts w:ascii="Times New Roman" w:cs="Times New Roman" w:eastAsia="Times New Roman" w:hAnsi="Times New Roman"/>
                <w:sz w:val="17"/>
                <w:szCs w:val="17"/>
                <w:color w:val="auto"/>
              </w:rPr>
              <w:t>Deferred compensation</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shd w:val="clear" w:color="auto" w:fill="CCEEFF"/>
          </w:tcPr>
          <w:p>
            <w:pPr>
              <w:spacing w:after="0"/>
              <w:rPr>
                <w:sz w:val="14"/>
                <w:szCs w:val="14"/>
                <w:color w:val="auto"/>
              </w:rPr>
            </w:pPr>
          </w:p>
        </w:tc>
        <w:tc>
          <w:tcPr>
            <w:tcW w:w="9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40" w:type="dxa"/>
            <w:vAlign w:val="bottom"/>
            <w:tcBorders>
              <w:right w:val="single" w:sz="8" w:color="CCEEFF"/>
            </w:tcBorders>
            <w:shd w:val="clear" w:color="auto" w:fill="CCEEFF"/>
          </w:tcPr>
          <w:p>
            <w:pPr>
              <w:spacing w:after="0"/>
              <w:rPr>
                <w:sz w:val="19"/>
                <w:szCs w:val="19"/>
                <w:color w:val="auto"/>
              </w:rPr>
            </w:pPr>
          </w:p>
        </w:tc>
        <w:tc>
          <w:tcPr>
            <w:tcW w:w="1760" w:type="dxa"/>
            <w:vAlign w:val="bottom"/>
            <w:gridSpan w:val="3"/>
            <w:shd w:val="clear" w:color="auto" w:fill="CCEEFF"/>
          </w:tcPr>
          <w:p>
            <w:pPr>
              <w:ind w:left="100"/>
              <w:spacing w:after="0" w:line="227" w:lineRule="exact"/>
              <w:rPr>
                <w:sz w:val="20"/>
                <w:szCs w:val="20"/>
                <w:color w:val="auto"/>
              </w:rPr>
            </w:pPr>
            <w:r>
              <w:rPr>
                <w:rFonts w:ascii="Times New Roman" w:cs="Times New Roman" w:eastAsia="Times New Roman" w:hAnsi="Times New Roman"/>
                <w:sz w:val="17"/>
                <w:szCs w:val="17"/>
                <w:color w:val="auto"/>
              </w:rPr>
              <w:t>investments</w:t>
            </w:r>
            <w:r>
              <w:rPr>
                <w:rFonts w:ascii="Times New Roman" w:cs="Times New Roman" w:eastAsia="Times New Roman" w:hAnsi="Times New Roman"/>
                <w:sz w:val="22"/>
                <w:szCs w:val="22"/>
                <w:color w:val="auto"/>
                <w:vertAlign w:val="superscript"/>
              </w:rPr>
              <w:t>(4)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4"/>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assets at fair value</w:t>
            </w: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10"/>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w w:val="96"/>
              </w:rPr>
              <w:t>Fair Value Measurements at</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10"/>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w w:val="97"/>
              </w:rPr>
              <w:t>Fair Value Measurements at</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7"/>
            <w:vMerge w:val="restart"/>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July 31, 2022 Using</w:t>
            </w: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6"/>
            <w:vMerge w:val="restart"/>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August 1, 2021 Using</w:t>
            </w: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3"/>
            <w:vMerge w:val="restart"/>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80" w:type="dxa"/>
            <w:vAlign w:val="bottom"/>
            <w:gridSpan w:val="7"/>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3"/>
            <w:vMerge w:val="restart"/>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3"/>
              </w:rPr>
              <w:t>as of</w:t>
            </w: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8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 Hierarchy</w:t>
            </w: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 Hierarchy</w:t>
            </w: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w w:val="93"/>
              </w:rPr>
              <w:t>as of</w:t>
            </w:r>
          </w:p>
        </w:tc>
        <w:tc>
          <w:tcPr>
            <w:tcW w:w="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7"/>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w w:val="95"/>
              </w:rPr>
              <w:t>August 1,</w:t>
            </w:r>
          </w:p>
        </w:tc>
        <w:tc>
          <w:tcPr>
            <w:tcW w:w="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6"/>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July 31, 2022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240" w:type="dxa"/>
            <w:vAlign w:val="bottom"/>
          </w:tcPr>
          <w:p>
            <w:pPr>
              <w:spacing w:after="0"/>
              <w:rPr>
                <w:sz w:val="16"/>
                <w:szCs w:val="16"/>
                <w:color w:val="auto"/>
              </w:rPr>
            </w:pP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Borders>
              <w:right w:val="single" w:sz="8" w:color="CCEEFF"/>
            </w:tcBorders>
          </w:tcPr>
          <w:p>
            <w:pPr>
              <w:spacing w:after="0"/>
              <w:rPr>
                <w:sz w:val="14"/>
                <w:szCs w:val="14"/>
                <w:color w:val="auto"/>
              </w:rPr>
            </w:pPr>
          </w:p>
        </w:tc>
        <w:tc>
          <w:tcPr>
            <w:tcW w:w="1760" w:type="dxa"/>
            <w:vAlign w:val="bottom"/>
            <w:tcBorders>
              <w:top w:val="single" w:sz="8" w:color="CCEEFF"/>
            </w:tcBorders>
            <w:gridSpan w:val="3"/>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Liabilities</w:t>
            </w: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40" w:type="dxa"/>
            <w:vAlign w:val="bottom"/>
            <w:tcBorders>
              <w:right w:val="single" w:sz="8" w:color="CCEEFF"/>
            </w:tcBorders>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40" w:type="dxa"/>
            <w:vAlign w:val="bottom"/>
          </w:tcPr>
          <w:p>
            <w:pPr>
              <w:spacing w:after="0"/>
              <w:rPr>
                <w:sz w:val="14"/>
                <w:szCs w:val="14"/>
                <w:color w:val="auto"/>
              </w:rPr>
            </w:pPr>
          </w:p>
        </w:tc>
        <w:tc>
          <w:tcPr>
            <w:tcW w:w="1760" w:type="dxa"/>
            <w:vAlign w:val="bottom"/>
            <w:gridSpan w:val="3"/>
          </w:tcPr>
          <w:p>
            <w:pPr>
              <w:ind w:left="100"/>
              <w:spacing w:after="0" w:line="167" w:lineRule="exact"/>
              <w:rPr>
                <w:sz w:val="20"/>
                <w:szCs w:val="20"/>
                <w:color w:val="auto"/>
              </w:rPr>
            </w:pPr>
            <w:r>
              <w:rPr>
                <w:rFonts w:ascii="Times New Roman" w:cs="Times New Roman" w:eastAsia="Times New Roman" w:hAnsi="Times New Roman"/>
                <w:sz w:val="17"/>
                <w:szCs w:val="17"/>
                <w:color w:val="auto"/>
              </w:rPr>
              <w:t>Foreign exchange</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760" w:type="dxa"/>
            <w:vAlign w:val="bottom"/>
            <w:gridSpan w:val="3"/>
          </w:tcPr>
          <w:p>
            <w:pPr>
              <w:ind w:left="100"/>
              <w:spacing w:after="0" w:line="231" w:lineRule="exact"/>
              <w:rPr>
                <w:sz w:val="20"/>
                <w:szCs w:val="20"/>
                <w:color w:val="auto"/>
              </w:rPr>
            </w:pPr>
            <w:r>
              <w:rPr>
                <w:rFonts w:ascii="Times New Roman" w:cs="Times New Roman" w:eastAsia="Times New Roman" w:hAnsi="Times New Roman"/>
                <w:sz w:val="17"/>
                <w:szCs w:val="17"/>
                <w:color w:val="auto"/>
              </w:rPr>
              <w:t>forward contracts</w:t>
            </w:r>
            <w:r>
              <w:rPr>
                <w:rFonts w:ascii="Times New Roman" w:cs="Times New Roman" w:eastAsia="Times New Roman" w:hAnsi="Times New Roman"/>
                <w:sz w:val="22"/>
                <w:szCs w:val="22"/>
                <w:color w:val="auto"/>
                <w:vertAlign w:val="superscript"/>
              </w:rPr>
              <w:t>(1)</w:t>
            </w:r>
          </w:p>
        </w:tc>
        <w:tc>
          <w:tcPr>
            <w:tcW w:w="140" w:type="dxa"/>
            <w:vAlign w:val="bottom"/>
            <w:gridSpan w:val="2"/>
            <w:vMerge w:val="continue"/>
          </w:tcPr>
          <w:p>
            <w:pPr>
              <w:spacing w:after="0"/>
              <w:rPr>
                <w:sz w:val="20"/>
                <w:szCs w:val="20"/>
                <w:color w:val="auto"/>
              </w:rPr>
            </w:pPr>
          </w:p>
        </w:tc>
        <w:tc>
          <w:tcPr>
            <w:tcW w:w="1060" w:type="dxa"/>
            <w:vAlign w:val="bottom"/>
            <w:gridSpan w:val="3"/>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320" w:type="dxa"/>
            <w:vAlign w:val="bottom"/>
            <w:gridSpan w:val="4"/>
            <w:vMerge w:val="continue"/>
          </w:tcPr>
          <w:p>
            <w:pPr>
              <w:spacing w:after="0"/>
              <w:rPr>
                <w:sz w:val="20"/>
                <w:szCs w:val="20"/>
                <w:color w:val="auto"/>
              </w:rPr>
            </w:pPr>
          </w:p>
        </w:tc>
        <w:tc>
          <w:tcPr>
            <w:tcW w:w="980" w:type="dxa"/>
            <w:vAlign w:val="bottom"/>
            <w:gridSpan w:val="4"/>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920" w:type="dxa"/>
            <w:vAlign w:val="bottom"/>
            <w:gridSpan w:val="3"/>
            <w:vMerge w:val="continue"/>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CCEEFF"/>
            </w:tcBorders>
          </w:tcPr>
          <w:p>
            <w:pPr>
              <w:spacing w:after="0"/>
              <w:rPr>
                <w:sz w:val="14"/>
                <w:szCs w:val="14"/>
                <w:color w:val="auto"/>
              </w:rPr>
            </w:pPr>
          </w:p>
        </w:tc>
        <w:tc>
          <w:tcPr>
            <w:tcW w:w="1760" w:type="dxa"/>
            <w:vAlign w:val="bottom"/>
            <w:gridSpan w:val="3"/>
            <w:shd w:val="clear" w:color="auto" w:fill="CCEEFF"/>
          </w:tcPr>
          <w:p>
            <w:pPr>
              <w:ind w:left="100"/>
              <w:spacing w:after="0" w:line="167" w:lineRule="exact"/>
              <w:rPr>
                <w:sz w:val="20"/>
                <w:szCs w:val="20"/>
                <w:color w:val="auto"/>
              </w:rPr>
            </w:pPr>
            <w:r>
              <w:rPr>
                <w:rFonts w:ascii="Times New Roman" w:cs="Times New Roman" w:eastAsia="Times New Roman" w:hAnsi="Times New Roman"/>
                <w:sz w:val="17"/>
                <w:szCs w:val="17"/>
                <w:color w:val="auto"/>
              </w:rPr>
              <w:t>Commodity derivative</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0" w:type="dxa"/>
            <w:vAlign w:val="bottom"/>
            <w:tcBorders>
              <w:right w:val="single" w:sz="8" w:color="CCEEFF"/>
            </w:tcBorders>
          </w:tcPr>
          <w:p>
            <w:pPr>
              <w:spacing w:after="0"/>
              <w:rPr>
                <w:sz w:val="20"/>
                <w:szCs w:val="20"/>
                <w:color w:val="auto"/>
              </w:rPr>
            </w:pPr>
          </w:p>
        </w:tc>
        <w:tc>
          <w:tcPr>
            <w:tcW w:w="1760" w:type="dxa"/>
            <w:vAlign w:val="bottom"/>
            <w:gridSpan w:val="3"/>
            <w:shd w:val="clear" w:color="auto" w:fill="CCEEFF"/>
          </w:tcPr>
          <w:p>
            <w:pPr>
              <w:ind w:left="100"/>
              <w:spacing w:after="0" w:line="231" w:lineRule="exact"/>
              <w:rPr>
                <w:sz w:val="20"/>
                <w:szCs w:val="20"/>
                <w:color w:val="auto"/>
              </w:rPr>
            </w:pPr>
            <w:r>
              <w:rPr>
                <w:rFonts w:ascii="Times New Roman" w:cs="Times New Roman" w:eastAsia="Times New Roman" w:hAnsi="Times New Roman"/>
                <w:sz w:val="17"/>
                <w:szCs w:val="17"/>
                <w:color w:val="auto"/>
              </w:rPr>
              <w:t>contracts</w:t>
            </w:r>
            <w:r>
              <w:rPr>
                <w:rFonts w:ascii="Times New Roman" w:cs="Times New Roman" w:eastAsia="Times New Roman" w:hAnsi="Times New Roman"/>
                <w:sz w:val="22"/>
                <w:szCs w:val="22"/>
                <w:color w:val="auto"/>
                <w:vertAlign w:val="superscript"/>
              </w:rPr>
              <w:t>(2)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gridSpan w:val="3"/>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1760" w:type="dxa"/>
            <w:vAlign w:val="bottom"/>
            <w:gridSpan w:val="3"/>
          </w:tcPr>
          <w:p>
            <w:pPr>
              <w:ind w:left="100"/>
              <w:spacing w:after="0" w:line="167" w:lineRule="exact"/>
              <w:rPr>
                <w:sz w:val="20"/>
                <w:szCs w:val="20"/>
                <w:color w:val="auto"/>
              </w:rPr>
            </w:pPr>
            <w:r>
              <w:rPr>
                <w:rFonts w:ascii="Times New Roman" w:cs="Times New Roman" w:eastAsia="Times New Roman" w:hAnsi="Times New Roman"/>
                <w:sz w:val="17"/>
                <w:szCs w:val="17"/>
                <w:color w:val="auto"/>
              </w:rPr>
              <w:t>Deferred compensation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760" w:type="dxa"/>
            <w:vAlign w:val="bottom"/>
            <w:gridSpan w:val="3"/>
          </w:tcPr>
          <w:p>
            <w:pPr>
              <w:ind w:left="100"/>
              <w:spacing w:after="0" w:line="231" w:lineRule="exact"/>
              <w:rPr>
                <w:sz w:val="20"/>
                <w:szCs w:val="20"/>
                <w:color w:val="auto"/>
              </w:rPr>
            </w:pPr>
            <w:r>
              <w:rPr>
                <w:rFonts w:ascii="Times New Roman" w:cs="Times New Roman" w:eastAsia="Times New Roman" w:hAnsi="Times New Roman"/>
                <w:sz w:val="17"/>
                <w:szCs w:val="17"/>
                <w:color w:val="auto"/>
              </w:rPr>
              <w:t>derivative contracts</w:t>
            </w:r>
            <w:r>
              <w:rPr>
                <w:rFonts w:ascii="Times New Roman" w:cs="Times New Roman" w:eastAsia="Times New Roman" w:hAnsi="Times New Roman"/>
                <w:sz w:val="22"/>
                <w:szCs w:val="22"/>
                <w:color w:val="auto"/>
                <w:vertAlign w:val="superscript"/>
              </w:rPr>
              <w:t>(3)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CCEEFF"/>
            </w:tcBorders>
          </w:tcPr>
          <w:p>
            <w:pPr>
              <w:spacing w:after="0"/>
              <w:rPr>
                <w:sz w:val="14"/>
                <w:szCs w:val="14"/>
                <w:color w:val="auto"/>
              </w:rPr>
            </w:pPr>
          </w:p>
        </w:tc>
        <w:tc>
          <w:tcPr>
            <w:tcW w:w="1760" w:type="dxa"/>
            <w:vAlign w:val="bottom"/>
            <w:gridSpan w:val="3"/>
            <w:shd w:val="clear" w:color="auto" w:fill="CCEEFF"/>
          </w:tcPr>
          <w:p>
            <w:pPr>
              <w:ind w:left="100"/>
              <w:spacing w:after="0" w:line="167" w:lineRule="exact"/>
              <w:rPr>
                <w:sz w:val="20"/>
                <w:szCs w:val="20"/>
                <w:color w:val="auto"/>
              </w:rPr>
            </w:pPr>
            <w:r>
              <w:rPr>
                <w:rFonts w:ascii="Times New Roman" w:cs="Times New Roman" w:eastAsia="Times New Roman" w:hAnsi="Times New Roman"/>
                <w:sz w:val="17"/>
                <w:szCs w:val="17"/>
                <w:color w:val="auto"/>
              </w:rPr>
              <w:t>Deferred compensation</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gridSpan w:val="2"/>
            <w:vMerge w:val="restart"/>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vMerge w:val="restart"/>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0" w:type="dxa"/>
            <w:vAlign w:val="bottom"/>
            <w:tcBorders>
              <w:right w:val="single" w:sz="8" w:color="CCEEFF"/>
            </w:tcBorders>
          </w:tcPr>
          <w:p>
            <w:pPr>
              <w:spacing w:after="0"/>
              <w:rPr>
                <w:sz w:val="20"/>
                <w:szCs w:val="20"/>
                <w:color w:val="auto"/>
              </w:rPr>
            </w:pPr>
          </w:p>
        </w:tc>
        <w:tc>
          <w:tcPr>
            <w:tcW w:w="1760" w:type="dxa"/>
            <w:vAlign w:val="bottom"/>
            <w:gridSpan w:val="3"/>
            <w:shd w:val="clear" w:color="auto" w:fill="CCEEFF"/>
          </w:tcPr>
          <w:p>
            <w:pPr>
              <w:ind w:left="100"/>
              <w:spacing w:after="0" w:line="231" w:lineRule="exact"/>
              <w:rPr>
                <w:sz w:val="20"/>
                <w:szCs w:val="20"/>
                <w:color w:val="auto"/>
              </w:rPr>
            </w:pPr>
            <w:r>
              <w:rPr>
                <w:rFonts w:ascii="Times New Roman" w:cs="Times New Roman" w:eastAsia="Times New Roman" w:hAnsi="Times New Roman"/>
                <w:sz w:val="17"/>
                <w:szCs w:val="17"/>
                <w:color w:val="auto"/>
              </w:rPr>
              <w:t>obligation</w:t>
            </w:r>
            <w:r>
              <w:rPr>
                <w:rFonts w:ascii="Times New Roman" w:cs="Times New Roman" w:eastAsia="Times New Roman" w:hAnsi="Times New Roman"/>
                <w:sz w:val="22"/>
                <w:szCs w:val="22"/>
                <w:color w:val="auto"/>
                <w:vertAlign w:val="superscript"/>
              </w:rPr>
              <w:t>(4)</w:t>
            </w:r>
          </w:p>
        </w:tc>
        <w:tc>
          <w:tcPr>
            <w:tcW w:w="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gridSpan w:val="2"/>
            <w:vMerge w:val="continue"/>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gridSpan w:val="2"/>
            <w:vMerge w:val="continue"/>
            <w:shd w:val="clear" w:color="auto" w:fill="CCEEFF"/>
          </w:tcPr>
          <w:p>
            <w:pPr>
              <w:spacing w:after="0"/>
              <w:rPr>
                <w:sz w:val="20"/>
                <w:szCs w:val="20"/>
                <w:color w:val="auto"/>
              </w:rPr>
            </w:pPr>
          </w:p>
        </w:tc>
        <w:tc>
          <w:tcPr>
            <w:tcW w:w="8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760" w:type="dxa"/>
            <w:vAlign w:val="bottom"/>
            <w:gridSpan w:val="3"/>
          </w:tcPr>
          <w:p>
            <w:pPr>
              <w:spacing w:after="0" w:line="147" w:lineRule="exact"/>
              <w:rPr>
                <w:sz w:val="20"/>
                <w:szCs w:val="20"/>
                <w:color w:val="auto"/>
              </w:rPr>
            </w:pPr>
            <w:r>
              <w:rPr>
                <w:rFonts w:ascii="Times New Roman" w:cs="Times New Roman" w:eastAsia="Times New Roman" w:hAnsi="Times New Roman"/>
                <w:sz w:val="17"/>
                <w:szCs w:val="17"/>
                <w:color w:val="auto"/>
              </w:rPr>
              <w:t>Total liabilities at fair</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130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102</w:t>
            </w:r>
          </w:p>
        </w:tc>
        <w:tc>
          <w:tcPr>
            <w:tcW w:w="32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34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value</w:t>
            </w:r>
          </w:p>
        </w:tc>
        <w:tc>
          <w:tcPr>
            <w:tcW w:w="14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320" w:type="dxa"/>
            <w:vAlign w:val="bottom"/>
            <w:gridSpan w:val="4"/>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340" w:type="dxa"/>
            <w:vAlign w:val="bottom"/>
            <w:gridSpan w:val="4"/>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w:t>
      </w:r>
    </w:p>
    <w:p>
      <w:pPr>
        <w:spacing w:after="0" w:line="38" w:lineRule="exact"/>
        <w:rPr>
          <w:sz w:val="20"/>
          <w:szCs w:val="20"/>
          <w:color w:val="auto"/>
        </w:rPr>
      </w:pPr>
    </w:p>
    <w:p>
      <w:pPr>
        <w:ind w:left="300" w:hanging="297"/>
        <w:spacing w:after="0"/>
        <w:tabs>
          <w:tab w:leader="none" w:pos="30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observable market transactions of spot currency rates and forward rates.</w:t>
      </w:r>
    </w:p>
    <w:p>
      <w:pPr>
        <w:spacing w:after="0" w:line="1" w:lineRule="exact"/>
        <w:rPr>
          <w:rFonts w:ascii="Times New Roman" w:cs="Times New Roman" w:eastAsia="Times New Roman" w:hAnsi="Times New Roman"/>
          <w:sz w:val="22"/>
          <w:szCs w:val="22"/>
          <w:color w:val="auto"/>
          <w:vertAlign w:val="superscript"/>
        </w:rPr>
      </w:pPr>
    </w:p>
    <w:p>
      <w:pPr>
        <w:ind w:left="320" w:hanging="317"/>
        <w:spacing w:after="0" w:line="219" w:lineRule="auto"/>
        <w:tabs>
          <w:tab w:leader="none" w:pos="308"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spacing w:after="0" w:line="1" w:lineRule="exact"/>
        <w:rPr>
          <w:rFonts w:ascii="Times New Roman" w:cs="Times New Roman" w:eastAsia="Times New Roman" w:hAnsi="Times New Roman"/>
          <w:sz w:val="22"/>
          <w:szCs w:val="22"/>
          <w:color w:val="auto"/>
          <w:vertAlign w:val="superscript"/>
        </w:rPr>
      </w:pPr>
    </w:p>
    <w:p>
      <w:pPr>
        <w:ind w:left="300" w:hanging="297"/>
        <w:spacing w:after="0" w:line="195" w:lineRule="auto"/>
        <w:tabs>
          <w:tab w:leader="none" w:pos="30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equity index swap rates.</w:t>
      </w:r>
    </w:p>
    <w:p>
      <w:pPr>
        <w:spacing w:after="0" w:line="1"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the fair value of the participants’ investments.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66" w:name="page67"/>
    <w:bookmarkEnd w:id="66"/>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changes in fair value of Level 3 assets for the years ended July 31, 2022, and August 1,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5"/>
                <w:szCs w:val="15"/>
                <w:color w:val="auto"/>
              </w:rPr>
            </w:pPr>
          </w:p>
        </w:tc>
        <w:tc>
          <w:tcPr>
            <w:tcW w:w="96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8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2"/>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beginning of year</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center"/>
              <w:ind w:left="678"/>
              <w:spacing w:after="0"/>
              <w:rPr>
                <w:sz w:val="20"/>
                <w:szCs w:val="20"/>
                <w:color w:val="auto"/>
              </w:rPr>
            </w:pPr>
            <w:r>
              <w:rPr>
                <w:rFonts w:ascii="Times New Roman" w:cs="Times New Roman" w:eastAsia="Times New Roman" w:hAnsi="Times New Roman"/>
                <w:sz w:val="17"/>
                <w:szCs w:val="17"/>
                <w:color w:val="auto"/>
                <w:w w:val="93"/>
              </w:rPr>
              <w:t>2</w:t>
            </w:r>
          </w:p>
        </w:tc>
      </w:tr>
      <w:tr>
        <w:trPr>
          <w:trHeight w:val="219"/>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 (losses)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center"/>
              <w:ind w:left="678"/>
              <w:spacing w:after="0"/>
              <w:rPr>
                <w:sz w:val="20"/>
                <w:szCs w:val="20"/>
                <w:color w:val="auto"/>
              </w:rPr>
            </w:pPr>
            <w:r>
              <w:rPr>
                <w:rFonts w:ascii="Times New Roman" w:cs="Times New Roman" w:eastAsia="Times New Roman" w:hAnsi="Times New Roman"/>
                <w:sz w:val="17"/>
                <w:szCs w:val="17"/>
                <w:color w:val="auto"/>
                <w:w w:val="93"/>
              </w:rPr>
              <w:t>6</w:t>
            </w:r>
          </w:p>
        </w:tc>
      </w:tr>
      <w:tr>
        <w:trPr>
          <w:trHeight w:val="21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Settlements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638"/>
              <w:spacing w:after="0"/>
              <w:rPr>
                <w:sz w:val="20"/>
                <w:szCs w:val="20"/>
                <w:color w:val="auto"/>
              </w:rPr>
            </w:pPr>
            <w:r>
              <w:rPr>
                <w:rFonts w:ascii="Times New Roman" w:cs="Times New Roman" w:eastAsia="Times New Roman" w:hAnsi="Times New Roman"/>
                <w:sz w:val="17"/>
                <w:szCs w:val="17"/>
                <w:color w:val="auto"/>
              </w:rPr>
              <w:t>(7)</w:t>
            </w:r>
          </w:p>
        </w:tc>
      </w:tr>
      <w:tr>
        <w:trPr>
          <w:trHeight w:val="212"/>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at end of year</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center"/>
              <w:ind w:left="678"/>
              <w:spacing w:after="0"/>
              <w:rPr>
                <w:sz w:val="20"/>
                <w:szCs w:val="20"/>
                <w:color w:val="auto"/>
              </w:rPr>
            </w:pPr>
            <w:r>
              <w:rPr>
                <w:rFonts w:ascii="Times New Roman" w:cs="Times New Roman" w:eastAsia="Times New Roman" w:hAnsi="Times New Roman"/>
                <w:sz w:val="17"/>
                <w:szCs w:val="17"/>
                <w:color w:val="auto"/>
                <w:w w:val="93"/>
              </w:rPr>
              <w:t>1</w:t>
            </w:r>
          </w:p>
        </w:tc>
      </w:tr>
      <w:tr>
        <w:trPr>
          <w:trHeight w:val="20"/>
        </w:trPr>
        <w:tc>
          <w:tcPr>
            <w:tcW w:w="8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carrying values of cash and cash equivalents, accounts receivable and accounts payable approximate fair value.</w:t>
      </w:r>
    </w:p>
    <w:p>
      <w:pPr>
        <w:spacing w:after="0" w:line="88"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There were cash equivalents of $27 million at July 31, 2022, and none at August 1, 2021. Cash equivalents represent fair value as these highly liquid investments have an original maturity of three months or less. Fair value of cash equivalents is based on Level 2 inputs.</w:t>
      </w:r>
    </w:p>
    <w:p>
      <w:pPr>
        <w:spacing w:after="0" w:line="3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 fair value of short- and long-term debt was $4.637 billion at July 31, 2022, and $5.613 billion at August 1, 2021. The carrying value was $4.81 billion at July 31, 2022, and $5.058 billion at August 1, 2021. The fair value of long-term debt is principally estimated using Level 2 inputs based on quoted market prices or pricing models using current market rates.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Shareholders' Equity</w:t>
      </w:r>
    </w:p>
    <w:p>
      <w:pPr>
        <w:spacing w:after="0" w:line="92"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have authorized 560 million shares of Capital stock with $.0375 par value and 40 million shares of Preferred stock, issuable in one or more classes, with or without par as may be authorized by the Board of Directors. No Preferred stock has been issued.</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Programs</w:t>
      </w:r>
    </w:p>
    <w:p>
      <w:pPr>
        <w:spacing w:after="0" w:line="10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June 2021, the Board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June 2021 program may be made in open-market or privately negotiated transactions.</w:t>
      </w:r>
    </w:p>
    <w:p>
      <w:pPr>
        <w:spacing w:after="0" w:line="38"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5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2022, we repurchased 3.8 million shares at a cost of $167 million. Of this amount, $42 million was used to repurchase shares pursuant to our June 2021 program and $125 million was used to repurchase share pursuant to our September 2021 program. As of July 31, 2022, approximately $172 million remained available under the June 2021 program and approximately $375 million remained under the September 2021 program. In 2021, we repurchased approximately 1 million shares at a cost of $36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Stock-based Compensation</w:t>
      </w:r>
    </w:p>
    <w:p>
      <w:pPr>
        <w:spacing w:after="0" w:line="92"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In 2005, shareholders approved the 2005 Long-Term Incentive Plan, which authorized the issuance of 6 million shares to satisfy awards of stock options, stock appreciation rights, unrestricted stock, restricted stock/units (including performance restricted stock) and performance units. In 2008, shareholders approved an amendment to the 2005 Long-Term Incentive Plan to increase the number of authorized shares to 10.5 million and in 2010, shareholders approved another amendment to the 2005 Long-Term Incentive Plan to increase the number of authorized shares to 17.5 million. In 2015, shareholders approved the 2015 Long-Term Incentive Plan, which authorized the issuance of 13 million shares. Approximately 6 million of these shares were shares that were currently available under the 2005 plan and were incorporated into the 2015 Plan upon approval by shareholders.</w:t>
      </w:r>
    </w:p>
    <w:p>
      <w:pPr>
        <w:spacing w:after="0" w:line="61"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Awards under Long-Term Incentive Plans may be granted to employees and directors. Pursuant to the Long-Term Incentive Plan, we adopted a long-term incentive compensation program which provides for grants of total shareholder return (TSR) performance restricted stock/units, EPS performance restricted stock/units, strategic performance restricted stock/units, time-lapse restricted stock/units, special performance restricted stock/units, free cash flow (FCF) performance restricted stock/units and unrestricted stock. Under the program, awards of TSR performance restricted stock/units will be earned by comparing our total shareholder return during a three-year period to the respective total shareholder returns of companies in a performance peer group. Based upon our ranking in the performance peer group after the relevant three-year performance period, a recipient of TSR performance restricted stock/units may earn a total award ranging from 0% to 200% of the initial grant. Awards of EPS performance restricted stock/units granted in 2022 will be earned upon the achievement of our adjusted EPS compound annual growth rate goal (EPS CAGR performance restricted stock/units), measured over a three-year period. A recipient of EPS CAGR performance restricted stock/units may earn a total award ranging from 0% to 200% of the initial grant. Awards of EPS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67" w:name="page68"/>
    <w:bookmarkEnd w:id="67"/>
    <w:p>
      <w:pPr>
        <w:jc w:val="both"/>
        <w:spacing w:after="0" w:line="256" w:lineRule="auto"/>
        <w:rPr>
          <w:sz w:val="20"/>
          <w:szCs w:val="20"/>
          <w:color w:val="auto"/>
        </w:rPr>
      </w:pPr>
      <w:r>
        <w:rPr>
          <w:rFonts w:ascii="Times New Roman" w:cs="Times New Roman" w:eastAsia="Times New Roman" w:hAnsi="Times New Roman"/>
          <w:sz w:val="17"/>
          <w:szCs w:val="17"/>
          <w:color w:val="auto"/>
        </w:rPr>
        <w:t>performance restricted stock/units granted prior to 2022 were earned based upon our achievement of annual earnings per share goals and vested over the relevant three-year period. During the three-year vesting period, a recipient of EPS performance restricted stock/units earned a total award of either 0% or 100% of the initial grant. Awards of the strategic performance restricted stock units were earned based upon the achievement of two key metrics, net sales and EPS growth, compared to strategic plan objectives during a three-year period. A recipient of strategic performance restricted stock units earned a total award ranging from 0% to 200% of the initial grant. Awards of FCF performance restricted stock units were earned based upon the achievement of free cash flow (defined as Net cash provided by operating activities less capital expenditures and certain investing and financing activities) compared to annual operating plan objectives over a three-year period. An annual objective was established each fiscal year for three consecutive years. Performance against these objectives was averaged at the end of the three-year period to determine the number of underlying units that vested at the end of the three years. A recipient of FCF performance restricted stock units earned a total award ranging from 0% to 200% of the initial grant. Awards of time-lapse restricted stock/units will vest ratably over the three-year period. In addition, we may issue special grants of restricted stock/units to attract and retain executives which vest over various periods. Awards are generally granted annually in October.</w:t>
      </w:r>
    </w:p>
    <w:p>
      <w:pPr>
        <w:spacing w:after="0" w:line="52"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Stock options are granted on a selective basis under the Long-Term Incentive Plans. The term of a stock option granted under these plans may not exceed ten years from the date of grant. The option price may not be less than the fair market value of a share of common stock on the date of the grant. Options granted under these plans generally vest ratably over a three-year period. In 2019, we also granted certain options that vest at the end of a three-year period. We last issued stock options in 2019.</w:t>
      </w:r>
    </w:p>
    <w:p>
      <w:pPr>
        <w:spacing w:after="0" w:line="5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2022, we issued time-lapse restricted stock units, unrestricted stock, TSR performance restricted stock units and EPS CAGR performance restricted stock units. We last issued FCF performance restricted stock units in 2019, EPS performance restricted stock units in 2018, strategic performance restricted stock units in 2014 and special performance restricted units in 2015.</w:t>
      </w:r>
    </w:p>
    <w:p>
      <w:pPr>
        <w:spacing w:after="0" w:line="5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 determining stock-based compensation expense, we estimate forfeitures expected to occur. Total pre-tax stock-based compensation expense and tax-related benefits recognized in Earnings from continuing operations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
        </w:trPr>
        <w:tc>
          <w:tcPr>
            <w:tcW w:w="75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pre-tax stock-based compensation expense</w:t>
            </w:r>
          </w:p>
        </w:tc>
        <w:tc>
          <w:tcPr>
            <w:tcW w:w="82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27"/>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Tax-related benefits</w:t>
            </w:r>
          </w:p>
        </w:tc>
        <w:tc>
          <w:tcPr>
            <w:tcW w:w="820" w:type="dxa"/>
            <w:vAlign w:val="bottom"/>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bl>
    <w:p>
      <w:pPr>
        <w:spacing w:after="0" w:line="156"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 2020, total pre-tax stock-based compensation expense recognized in Earnings (loss) from discontinued operations was $2 million. The tax-related benefits were not material.</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stock option activity as of July 31, 2022: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80" w:type="dxa"/>
            <w:vAlign w:val="bottom"/>
          </w:tcPr>
          <w:p>
            <w:pPr>
              <w:spacing w:after="0"/>
              <w:rPr>
                <w:sz w:val="12"/>
                <w:szCs w:val="12"/>
                <w:color w:val="auto"/>
              </w:rPr>
            </w:pPr>
          </w:p>
        </w:tc>
        <w:tc>
          <w:tcPr>
            <w:tcW w:w="1240" w:type="dxa"/>
            <w:vAlign w:val="bottom"/>
            <w:vMerge w:val="restart"/>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29"/>
        </w:trPr>
        <w:tc>
          <w:tcPr>
            <w:tcW w:w="48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left="361"/>
              <w:spacing w:after="0" w:line="12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2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00" w:type="dxa"/>
            <w:vAlign w:val="bottom"/>
            <w:vMerge w:val="restart"/>
          </w:tcPr>
          <w:p>
            <w:pPr>
              <w:spacing w:after="0"/>
              <w:rPr>
                <w:sz w:val="12"/>
                <w:szCs w:val="12"/>
                <w:color w:val="auto"/>
              </w:rPr>
            </w:pPr>
          </w:p>
        </w:tc>
        <w:tc>
          <w:tcPr>
            <w:tcW w:w="1080" w:type="dxa"/>
            <w:vAlign w:val="bottom"/>
          </w:tcPr>
          <w:p>
            <w:pPr>
              <w:jc w:val="center"/>
              <w:ind w:left="381"/>
              <w:spacing w:after="0" w:line="142"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80" w:type="dxa"/>
            <w:vAlign w:val="bottom"/>
          </w:tcPr>
          <w:p>
            <w:pPr>
              <w:spacing w:after="0"/>
              <w:rPr>
                <w:sz w:val="12"/>
                <w:szCs w:val="12"/>
                <w:color w:val="auto"/>
              </w:rPr>
            </w:pPr>
          </w:p>
        </w:tc>
        <w:tc>
          <w:tcPr>
            <w:tcW w:w="1240" w:type="dxa"/>
            <w:vAlign w:val="bottom"/>
          </w:tcPr>
          <w:p>
            <w:pPr>
              <w:jc w:val="center"/>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8"/>
        </w:trPr>
        <w:tc>
          <w:tcPr>
            <w:tcW w:w="480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80" w:type="dxa"/>
            <w:vAlign w:val="bottom"/>
            <w:tcBorders>
              <w:bottom w:val="single" w:sz="8" w:color="auto"/>
            </w:tcBorders>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28"/>
        </w:trPr>
        <w:tc>
          <w:tcPr>
            <w:tcW w:w="4800" w:type="dxa"/>
            <w:vAlign w:val="bottom"/>
          </w:tcPr>
          <w:p>
            <w:pPr>
              <w:spacing w:after="0"/>
              <w:rPr>
                <w:sz w:val="11"/>
                <w:szCs w:val="11"/>
                <w:color w:val="auto"/>
              </w:rPr>
            </w:pPr>
          </w:p>
        </w:tc>
        <w:tc>
          <w:tcPr>
            <w:tcW w:w="154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7"/>
              </w:rPr>
              <w:t>(Options in</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(In years)</w:t>
            </w: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800" w:type="dxa"/>
            <w:vAlign w:val="bottom"/>
          </w:tcPr>
          <w:p>
            <w:pPr>
              <w:spacing w:after="0"/>
              <w:rPr>
                <w:sz w:val="16"/>
                <w:szCs w:val="16"/>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August 1, 2021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45.61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901"/>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38.15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Terminated</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901"/>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July 31, 2022</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CCEEFF"/>
              <w:bottom w:val="single" w:sz="8" w:color="auto"/>
            </w:tcBorders>
            <w:shd w:val="clear" w:color="auto" w:fill="CCEEFF"/>
          </w:tcPr>
          <w:p>
            <w:pPr>
              <w:jc w:val="right"/>
              <w:ind w:right="90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46.04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Exercisable at July 31, 2022</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00" w:type="dxa"/>
            <w:vAlign w:val="bottom"/>
            <w:vMerge w:val="continue"/>
          </w:tcPr>
          <w:p>
            <w:pPr>
              <w:spacing w:after="0"/>
              <w:rPr>
                <w:sz w:val="16"/>
                <w:szCs w:val="16"/>
                <w:color w:val="auto"/>
              </w:rPr>
            </w:pPr>
          </w:p>
        </w:tc>
        <w:tc>
          <w:tcPr>
            <w:tcW w:w="154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1,297</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ind w:right="901"/>
              <w:spacing w:after="0" w:line="190" w:lineRule="exact"/>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w w:val="93"/>
              </w:rPr>
              <w:t>46.04</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4.8</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0"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total intrinsic value of options exercised during 2022 and 2020 was $1 million and $2 million, respectively. The total intrinsic value of options exercised during 2021 was not material. We measured the fair value of stock options using the Black-Scholes option pricing model.</w:t>
      </w:r>
    </w:p>
    <w:p>
      <w:pPr>
        <w:spacing w:after="0" w:line="36"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expensed stock options on a straight-line basis over the vesting period, except for awards issued to retirement eligible participants, which we expensed on an accelerated basis. As of January 2022, compensation related to stock options was fully expensed.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68" w:name="page69"/>
    <w:bookmarkEnd w:id="68"/>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following table summarizes time-lapse restricted stock units, EPS CAGR performance restricted stock units and FCF performance restricted stock units as of July 31, 2022:</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Pr>
          <w:p>
            <w:pPr>
              <w:jc w:val="center"/>
              <w:ind w:right="242"/>
              <w:spacing w:after="0" w:line="142"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0"/>
        </w:trPr>
        <w:tc>
          <w:tcPr>
            <w:tcW w:w="7620" w:type="dxa"/>
            <w:vAlign w:val="bottom"/>
          </w:tcPr>
          <w:p>
            <w:pPr>
              <w:spacing w:after="0"/>
              <w:rPr>
                <w:sz w:val="12"/>
                <w:szCs w:val="12"/>
                <w:color w:val="auto"/>
              </w:rPr>
            </w:pPr>
          </w:p>
        </w:tc>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Units</w:t>
            </w:r>
          </w:p>
        </w:tc>
        <w:tc>
          <w:tcPr>
            <w:tcW w:w="320" w:type="dxa"/>
            <w:vAlign w:val="bottom"/>
          </w:tcPr>
          <w:p>
            <w:pPr>
              <w:spacing w:after="0"/>
              <w:rPr>
                <w:sz w:val="12"/>
                <w:szCs w:val="12"/>
                <w:color w:val="auto"/>
              </w:rPr>
            </w:pPr>
          </w:p>
        </w:tc>
        <w:tc>
          <w:tcPr>
            <w:tcW w:w="1440" w:type="dxa"/>
            <w:vAlign w:val="bottom"/>
          </w:tcPr>
          <w:p>
            <w:pPr>
              <w:jc w:val="center"/>
              <w:ind w:right="242"/>
              <w:spacing w:after="0" w:line="141" w:lineRule="exact"/>
              <w:rPr>
                <w:sz w:val="20"/>
                <w:szCs w:val="20"/>
                <w:color w:val="auto"/>
              </w:rPr>
            </w:pPr>
            <w:r>
              <w:rPr>
                <w:rFonts w:ascii="Times New Roman" w:cs="Times New Roman" w:eastAsia="Times New Roman" w:hAnsi="Times New Roman"/>
                <w:sz w:val="14"/>
                <w:szCs w:val="14"/>
                <w:b w:val="1"/>
                <w:bCs w:val="1"/>
                <w:color w:val="auto"/>
                <w:w w:val="98"/>
              </w:rPr>
              <w:t>Grant-Date</w:t>
            </w:r>
          </w:p>
        </w:tc>
        <w:tc>
          <w:tcPr>
            <w:tcW w:w="0" w:type="dxa"/>
            <w:vAlign w:val="bottom"/>
          </w:tcPr>
          <w:p>
            <w:pPr>
              <w:spacing w:after="0"/>
              <w:rPr>
                <w:sz w:val="1"/>
                <w:szCs w:val="1"/>
                <w:color w:val="auto"/>
              </w:rPr>
            </w:pPr>
          </w:p>
        </w:tc>
      </w:tr>
      <w:tr>
        <w:trPr>
          <w:trHeight w:val="188"/>
        </w:trPr>
        <w:tc>
          <w:tcPr>
            <w:tcW w:w="762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28"/>
        </w:trPr>
        <w:tc>
          <w:tcPr>
            <w:tcW w:w="7620" w:type="dxa"/>
            <w:vAlign w:val="bottom"/>
          </w:tcPr>
          <w:p>
            <w:pPr>
              <w:spacing w:after="0"/>
              <w:rPr>
                <w:sz w:val="11"/>
                <w:szCs w:val="11"/>
                <w:color w:val="auto"/>
              </w:rPr>
            </w:pPr>
          </w:p>
        </w:tc>
        <w:tc>
          <w:tcPr>
            <w:tcW w:w="17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(Restricted stock</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7620" w:type="dxa"/>
            <w:vAlign w:val="bottom"/>
          </w:tcPr>
          <w:p>
            <w:pPr>
              <w:spacing w:after="0"/>
              <w:rPr>
                <w:sz w:val="16"/>
                <w:szCs w:val="16"/>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units in thousands)</w:t>
            </w: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August 1, 2021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45.63</w:t>
            </w:r>
          </w:p>
        </w:tc>
        <w:tc>
          <w:tcPr>
            <w:tcW w:w="0" w:type="dxa"/>
            <w:vAlign w:val="bottom"/>
          </w:tcPr>
          <w:p>
            <w:pPr>
              <w:spacing w:after="0"/>
              <w:rPr>
                <w:sz w:val="1"/>
                <w:szCs w:val="1"/>
                <w:color w:val="auto"/>
              </w:rPr>
            </w:pPr>
          </w:p>
        </w:tc>
      </w:tr>
      <w:tr>
        <w:trPr>
          <w:trHeight w:val="219"/>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1,543</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41.96</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43.97</w:t>
            </w:r>
          </w:p>
        </w:tc>
        <w:tc>
          <w:tcPr>
            <w:tcW w:w="0" w:type="dxa"/>
            <w:vAlign w:val="bottom"/>
          </w:tcPr>
          <w:p>
            <w:pPr>
              <w:spacing w:after="0"/>
              <w:rPr>
                <w:sz w:val="1"/>
                <w:szCs w:val="1"/>
                <w:color w:val="auto"/>
              </w:rPr>
            </w:pPr>
          </w:p>
        </w:tc>
      </w:tr>
      <w:tr>
        <w:trPr>
          <w:trHeight w:val="219"/>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44.38</w:t>
            </w:r>
          </w:p>
        </w:tc>
        <w:tc>
          <w:tcPr>
            <w:tcW w:w="0" w:type="dxa"/>
            <w:vAlign w:val="bottom"/>
          </w:tcPr>
          <w:p>
            <w:pPr>
              <w:spacing w:after="0"/>
              <w:rPr>
                <w:sz w:val="1"/>
                <w:szCs w:val="1"/>
                <w:color w:val="auto"/>
              </w:rPr>
            </w:pPr>
          </w:p>
        </w:tc>
      </w:tr>
      <w:tr>
        <w:trPr>
          <w:trHeight w:val="237"/>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July 31, 2022</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43.88</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We determine the fair value of time-lapse restricted stock units, EPS CAGR performance restricted stock units, FCF performance restricted stock units and EPS performance restricted stock units based on the quoted price of our stock at the date of grant. We expense time-lapse restricted stock units and EPS CAGR performance restricted stock units on a straight-line basis over the vesting period, except for awards issued to retirement-eligible participants, which we expense on an accelerated basis. There were 297 thousand EPS CAGR performance target grants outstanding at July 31, 2022 with a weighted-average grant-date fair value of $41.50. We expensed FCF performance restricted stock units over the requisite service period of each objective. As of October 31, 2021, there were no FCF performance target grants outstanding. We expensed EPS performance restricted stock units on a graded vesting basis, expect for awards issued to retirement-eligible participants, which we expensed on an accelerated basis. As of November 1, 2020, there were no EPS performance target grants outstanding. The actual number of EPS CAGR performance restricted stock units, FCF performance restricted stock units and EPS performance restricted stock units, that vest will depend on actual performance achieved. We estimate expense based on the number of awards expected to vest.</w:t>
      </w:r>
    </w:p>
    <w:p>
      <w:pPr>
        <w:spacing w:after="0" w:line="48"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As of July 31, 2022, total remaining unearned compensation related to nonvested time-lapse restricted stock units and EPS CAGR performance restricted units was $37 million, which will be amortized over the weighted-average remaining service period of 1.7 years. In the first quarter of 2022, recipients of FCF performance restricted stock units earned 167% of the initial grants based upon the average of actual performance achieved during a three-year period ended August 1, 2021. As a result, approximately 158 thousand additional shares were awarded. The fair value of restricted stock units vested during 2022, 2021 and 2020 was $50 million, $38 million and $41 million, respectively. The weighted-average grant-date fair value of the restricted stock units granted during 2021 and 2020 was $48.37 and $46.82, respectively.</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TSR performance restricted stock units as of July 31, 2022: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30"/>
        </w:trPr>
        <w:tc>
          <w:tcPr>
            <w:tcW w:w="78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jc w:val="center"/>
              <w:ind w:right="222"/>
              <w:spacing w:after="0" w:line="130"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00" w:type="dxa"/>
            <w:vAlign w:val="bottom"/>
          </w:tcPr>
          <w:p>
            <w:pPr>
              <w:spacing w:after="0"/>
              <w:rPr>
                <w:sz w:val="12"/>
                <w:szCs w:val="12"/>
                <w:color w:val="auto"/>
              </w:rPr>
            </w:pPr>
          </w:p>
        </w:tc>
        <w:tc>
          <w:tcPr>
            <w:tcW w:w="1340" w:type="dxa"/>
            <w:vAlign w:val="bottom"/>
          </w:tcPr>
          <w:p>
            <w:pPr>
              <w:jc w:val="center"/>
              <w:ind w:right="222"/>
              <w:spacing w:after="0" w:line="142" w:lineRule="exact"/>
              <w:rPr>
                <w:sz w:val="20"/>
                <w:szCs w:val="20"/>
                <w:color w:val="auto"/>
              </w:rPr>
            </w:pPr>
            <w:r>
              <w:rPr>
                <w:rFonts w:ascii="Times New Roman" w:cs="Times New Roman" w:eastAsia="Times New Roman" w:hAnsi="Times New Roman"/>
                <w:sz w:val="14"/>
                <w:szCs w:val="14"/>
                <w:b w:val="1"/>
                <w:bCs w:val="1"/>
                <w:color w:val="auto"/>
                <w:w w:val="98"/>
              </w:rPr>
              <w:t>Grant-Date</w:t>
            </w:r>
          </w:p>
        </w:tc>
        <w:tc>
          <w:tcPr>
            <w:tcW w:w="0" w:type="dxa"/>
            <w:vAlign w:val="bottom"/>
          </w:tcPr>
          <w:p>
            <w:pPr>
              <w:spacing w:after="0"/>
              <w:rPr>
                <w:sz w:val="1"/>
                <w:szCs w:val="1"/>
                <w:color w:val="auto"/>
              </w:rPr>
            </w:pPr>
          </w:p>
        </w:tc>
      </w:tr>
      <w:tr>
        <w:trPr>
          <w:trHeight w:val="182"/>
        </w:trPr>
        <w:tc>
          <w:tcPr>
            <w:tcW w:w="782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22"/>
        </w:trPr>
        <w:tc>
          <w:tcPr>
            <w:tcW w:w="78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7820" w:type="dxa"/>
            <w:vAlign w:val="bottom"/>
          </w:tcPr>
          <w:p>
            <w:pPr>
              <w:spacing w:after="0"/>
              <w:rPr>
                <w:sz w:val="10"/>
                <w:szCs w:val="10"/>
                <w:color w:val="auto"/>
              </w:rPr>
            </w:pPr>
          </w:p>
        </w:tc>
        <w:tc>
          <w:tcPr>
            <w:tcW w:w="164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9"/>
              </w:rPr>
              <w:t>(Restricted stock</w:t>
            </w: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782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units in thousands)</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August 1, 2021</w:t>
            </w: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1,222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53.60</w:t>
            </w:r>
          </w:p>
        </w:tc>
        <w:tc>
          <w:tcPr>
            <w:tcW w:w="0" w:type="dxa"/>
            <w:vAlign w:val="bottom"/>
          </w:tcPr>
          <w:p>
            <w:pPr>
              <w:spacing w:after="0"/>
              <w:rPr>
                <w:sz w:val="1"/>
                <w:szCs w:val="1"/>
                <w:color w:val="auto"/>
              </w:rPr>
            </w:pPr>
          </w:p>
        </w:tc>
      </w:tr>
      <w:tr>
        <w:trPr>
          <w:trHeight w:val="219"/>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331</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45.54</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31.35</w:t>
            </w:r>
          </w:p>
        </w:tc>
        <w:tc>
          <w:tcPr>
            <w:tcW w:w="0" w:type="dxa"/>
            <w:vAlign w:val="bottom"/>
          </w:tcPr>
          <w:p>
            <w:pPr>
              <w:spacing w:after="0"/>
              <w:rPr>
                <w:sz w:val="1"/>
                <w:szCs w:val="1"/>
                <w:color w:val="auto"/>
              </w:rPr>
            </w:pPr>
          </w:p>
        </w:tc>
      </w:tr>
      <w:tr>
        <w:trPr>
          <w:trHeight w:val="21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48.85</w:t>
            </w:r>
          </w:p>
        </w:tc>
        <w:tc>
          <w:tcPr>
            <w:tcW w:w="0" w:type="dxa"/>
            <w:vAlign w:val="bottom"/>
          </w:tcPr>
          <w:p>
            <w:pPr>
              <w:spacing w:after="0"/>
              <w:rPr>
                <w:sz w:val="1"/>
                <w:szCs w:val="1"/>
                <w:color w:val="auto"/>
              </w:rPr>
            </w:pPr>
          </w:p>
        </w:tc>
      </w:tr>
      <w:tr>
        <w:trPr>
          <w:trHeight w:val="23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July 31, 2022</w:t>
            </w:r>
          </w:p>
        </w:tc>
        <w:tc>
          <w:tcPr>
            <w:tcW w:w="1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1,153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55.63</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We estimated the fair value of TSR performance restricted stock units at the grant date using a Monte Carlo simulation. Weighted-average assumptions used in the Monte Carlo simulation were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2"/>
        </w:trPr>
        <w:tc>
          <w:tcPr>
            <w:tcW w:w="83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0.46%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1.48%</w:t>
            </w:r>
          </w:p>
        </w:tc>
      </w:tr>
      <w:tr>
        <w:trPr>
          <w:trHeight w:val="219"/>
        </w:trPr>
        <w:tc>
          <w:tcPr>
            <w:tcW w:w="8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3.50%</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2.85%</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2.95%</w:t>
            </w: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27.42%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29.99%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27.01%</w:t>
            </w:r>
          </w:p>
        </w:tc>
      </w:tr>
      <w:tr>
        <w:trPr>
          <w:trHeight w:val="227"/>
        </w:trPr>
        <w:tc>
          <w:tcPr>
            <w:tcW w:w="8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3 years</w:t>
            </w: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3 years</w:t>
            </w:r>
          </w:p>
        </w:tc>
        <w:tc>
          <w:tcPr>
            <w:tcW w:w="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3 years</w:t>
            </w:r>
          </w:p>
        </w:tc>
      </w:tr>
    </w:tbl>
    <w:p>
      <w:pPr>
        <w:spacing w:after="0" w:line="169"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7"/>
          <w:szCs w:val="17"/>
          <w:color w:val="auto"/>
        </w:rPr>
        <w:t>We recognize compensation expense on a straight-line basis over the service period, except for awards issued to retirement eligible participants, which we expense on an accelerated basis. As of July 31, 2022, total remaining unearned compensation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69" w:name="page70"/>
    <w:bookmarkEnd w:id="69"/>
    <w:p>
      <w:pPr>
        <w:jc w:val="both"/>
        <w:spacing w:after="0" w:line="245" w:lineRule="auto"/>
        <w:rPr>
          <w:sz w:val="20"/>
          <w:szCs w:val="20"/>
          <w:color w:val="auto"/>
        </w:rPr>
      </w:pPr>
      <w:r>
        <w:rPr>
          <w:rFonts w:ascii="Times New Roman" w:cs="Times New Roman" w:eastAsia="Times New Roman" w:hAnsi="Times New Roman"/>
          <w:sz w:val="17"/>
          <w:szCs w:val="17"/>
          <w:color w:val="auto"/>
        </w:rPr>
        <w:t>related to TSR performance restricted stock units was $15 million, which will be amortized over the weighted-average remaining service period of 1.5 years. In the first quarter of 2022, recipients of TSR performance restricted stock units earned 75% of the initial grants based upon our TSR ranking in a performance peer group during a three-year period ended July 30, 2021. In the first quarter of 2021, recipients of TSR performance restricted stock units earned 50% of the initial grants based upon our TSR ranking in a performance peer group during a three-year period ended July 31, 2020. In the first quarter of 2020, recipients of TSR performance restricted stock units earned 0% of the initial grants based upon our TSR ranking in a performance peer group during a three-year period ended July 26, 2019. The fair value of TSR performance restricted stock units vested during 2022 and 2021 was $8 million and $11 million, respectively. The grant-date fair value of the TSR performance restricted stock units granted during 2021 and 2020 was $54.93 and $63.06, respectively. In the first quarter of 2023, recipients of TSR performance restricted stock units will receive a 100% payout based upon our TSR ranking in a performance peer group during a three-year period ended July 29, 2022.</w:t>
      </w:r>
    </w:p>
    <w:p>
      <w:pPr>
        <w:spacing w:after="0" w:line="258"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 tax benefits on the exercise of stock options in 2022, 2021, and 2020 were not material. Cash received from the exercise of stock options was $3 million, $2 million and $23 million for 2022, 2021, and 2020, respectively, and is reflected in cash flows from financing activities in the Consolidated Statements of Cash Flows.</w:t>
      </w:r>
    </w:p>
    <w:p>
      <w:pPr>
        <w:spacing w:after="0" w:line="47" w:lineRule="exact"/>
        <w:rPr>
          <w:sz w:val="20"/>
          <w:szCs w:val="20"/>
          <w:color w:val="auto"/>
        </w:rPr>
      </w:pPr>
    </w:p>
    <w:p>
      <w:pPr>
        <w:ind w:right="8540" w:firstLine="3"/>
        <w:spacing w:after="0" w:line="358" w:lineRule="auto"/>
        <w:tabs>
          <w:tab w:leader="none" w:pos="257"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Regulatory and Litigation Matters</w:t>
      </w: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6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54" w:lineRule="exact"/>
        <w:rPr>
          <w:sz w:val="20"/>
          <w:szCs w:val="20"/>
          <w:color w:val="auto"/>
        </w:rPr>
      </w:pPr>
    </w:p>
    <w:p>
      <w:pPr>
        <w:jc w:val="both"/>
        <w:ind w:firstLine="309"/>
        <w:spacing w:after="0" w:line="255" w:lineRule="auto"/>
        <w:rPr>
          <w:sz w:val="20"/>
          <w:szCs w:val="20"/>
          <w:color w:val="auto"/>
        </w:rPr>
      </w:pPr>
      <w:r>
        <w:rPr>
          <w:rFonts w:ascii="Times New Roman" w:cs="Times New Roman" w:eastAsia="Times New Roman" w:hAnsi="Times New Roman"/>
          <w:sz w:val="17"/>
          <w:szCs w:val="17"/>
          <w:color w:val="auto"/>
        </w:rPr>
        <w:t xml:space="preserve">On January 7, 2019, three purported shareholder class action lawsuits pending in the United States District Court for the District of New Jersey (the Court) were consolidated under the caption, </w:t>
      </w:r>
      <w:r>
        <w:rPr>
          <w:rFonts w:ascii="Times New Roman" w:cs="Times New Roman" w:eastAsia="Times New Roman" w:hAnsi="Times New Roman"/>
          <w:sz w:val="17"/>
          <w:szCs w:val="17"/>
          <w:i w:val="1"/>
          <w:iCs w:val="1"/>
          <w:color w:val="auto"/>
        </w:rPr>
        <w:t>In re Campbell Soup Company Securities Litigation</w:t>
      </w:r>
      <w:r>
        <w:rPr>
          <w:rFonts w:ascii="Times New Roman" w:cs="Times New Roman" w:eastAsia="Times New Roman" w:hAnsi="Times New Roman"/>
          <w:sz w:val="17"/>
          <w:szCs w:val="17"/>
          <w:color w:val="auto"/>
        </w:rPr>
        <w:t>, Civ. No. 1:18-cv-14385-NLH-JS (the Action). Oklahoma Firefighters Pension and Retirement System was appointed lead plaintiff in the Action and, on March 1, 2019, filed an amended consolidated complaint. The company, Denise Morrison (the company's former President and Chief Executive Officer), and Anthony DiSilvestro (the company's former Senior Vice President and Chief Financial Officer) are defendants in the Action. The amended consolidated complaint alleges that, in public statements between July 19, 2017 and May 17, 2018, the defendants made materially false and misleading statements and/or omitted material information about the company's business, operations, customer relationships and prospects, specifically with regard to the Campbell Fresh segment. The amended consolidated complaint seeks unspecified monetary damages and other relief. On April 30, 2019, the defendants filed a motion to dismiss the amended consolidated complaint, which the Court granted on November 30, 2020, with leave to amend the complaint. On January 15, 2021, the plaintiff filed its second amended consolidated complaint. The second amended consolidated complaint again names as defendants the company and certain of its former officers and alleges that, in public statements between August 31, 2017 and May 17, 2018, the defendants made materially false and misleading statements and/or omitted material information about the company's business, operations, customer relationships and prospects, specifically with regard to the Campbell Fresh segment. The second amended consolidated complaint seeks unspecified monetary damages and other relief. On March 10, 2021 the defendants filed a motion to dismiss the second amended consolidated complaint. We are vigorously defending against the Action.</w:t>
      </w:r>
    </w:p>
    <w:p>
      <w:pPr>
        <w:spacing w:after="0" w:line="262"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July 31, 2022.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i w:val="1"/>
          <w:iCs w:val="1"/>
          <w:color w:val="auto"/>
        </w:rPr>
        <w:t>Other Contingencies</w:t>
      </w:r>
    </w:p>
    <w:p>
      <w:pPr>
        <w:spacing w:after="0" w:line="92"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guarantee approximately 4,800 bank loans made to independent contractor distributors by third-party financial institutions for the purchase of distribution routes. The maximum potential amount of the future payments under existing guarantees we could be required to make is $500 million as of July 31, 2022. Our guarantees are indirectly secured by the distribution routes. We do not expect that we will be required to make material guarantee payments as a result of defaults on the bank loans guaranteed. The amounts recognized as of July 31, 2022, and August 1, 2021, were not material.</w:t>
      </w:r>
    </w:p>
    <w:p>
      <w:pPr>
        <w:spacing w:after="0" w:line="5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have provided certain standard indemnifications in connection with divestitures, contracts and other transactions. Certain indemnifications have finite expiration dates. Liabilities recognized based on known exposures related to such matters were not material at July 31, 2022, and August 1, 2021.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Supplemental Financial Statement Data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Balance Sheets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5"/>
                <w:szCs w:val="15"/>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8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9"/>
        </w:trPr>
        <w:tc>
          <w:tcPr>
            <w:tcW w:w="8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Customer accounts receivable</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502</w:t>
            </w:r>
          </w:p>
        </w:tc>
        <w:tc>
          <w:tcPr>
            <w:tcW w:w="12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w:t>
            </w: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Allowances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2"/>
        </w:trPr>
        <w:tc>
          <w:tcPr>
            <w:tcW w:w="8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Subtotal</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490</w:t>
            </w:r>
          </w:p>
        </w:tc>
        <w:tc>
          <w:tcPr>
            <w:tcW w:w="12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2"/>
        </w:trPr>
        <w:tc>
          <w:tcPr>
            <w:tcW w:w="808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541</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595</w:t>
            </w: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43"/>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24"/>
                <w:szCs w:val="24"/>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8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Inventories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9"/>
        </w:trPr>
        <w:tc>
          <w:tcPr>
            <w:tcW w:w="8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Raw materials, containers and supplies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390</w:t>
            </w:r>
          </w:p>
        </w:tc>
        <w:tc>
          <w:tcPr>
            <w:tcW w:w="12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Finished products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856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r>
      <w:tr>
        <w:trPr>
          <w:trHeight w:val="212"/>
        </w:trPr>
        <w:tc>
          <w:tcPr>
            <w:tcW w:w="808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1,246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933</w:t>
            </w: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3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24"/>
                <w:szCs w:val="24"/>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8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Plant assets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9"/>
        </w:trPr>
        <w:tc>
          <w:tcPr>
            <w:tcW w:w="8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Land</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74</w:t>
            </w:r>
          </w:p>
        </w:tc>
        <w:tc>
          <w:tcPr>
            <w:tcW w:w="12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Buildings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w:t>
            </w:r>
          </w:p>
        </w:tc>
      </w:tr>
      <w:tr>
        <w:trPr>
          <w:trHeight w:val="219"/>
        </w:trPr>
        <w:tc>
          <w:tcPr>
            <w:tcW w:w="8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Machinery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3,732</w:t>
            </w: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Projects in progress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12"/>
        </w:trPr>
        <w:tc>
          <w:tcPr>
            <w:tcW w:w="8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cost</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5,678</w:t>
            </w:r>
          </w:p>
        </w:tc>
        <w:tc>
          <w:tcPr>
            <w:tcW w:w="12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5,489</w:t>
            </w:r>
          </w:p>
        </w:tc>
      </w:tr>
      <w:tr>
        <w:trPr>
          <w:trHeight w:val="219"/>
        </w:trPr>
        <w:tc>
          <w:tcPr>
            <w:tcW w:w="80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7"/>
                <w:szCs w:val="17"/>
                <w:color w:val="auto"/>
              </w:rPr>
              <w:t>Accumulated depreciation</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(3,335)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(3,119)</w:t>
            </w:r>
          </w:p>
        </w:tc>
      </w:tr>
      <w:tr>
        <w:trPr>
          <w:trHeight w:val="212"/>
        </w:trPr>
        <w:tc>
          <w:tcPr>
            <w:tcW w:w="808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2,343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2,370</w:t>
            </w: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w:t>
      </w:r>
    </w:p>
    <w:p>
      <w:pPr>
        <w:spacing w:after="0" w:line="94" w:lineRule="exact"/>
        <w:rPr>
          <w:sz w:val="20"/>
          <w:szCs w:val="20"/>
          <w:color w:val="auto"/>
        </w:rPr>
      </w:pPr>
    </w:p>
    <w:p>
      <w:pPr>
        <w:ind w:left="320" w:hanging="317"/>
        <w:spacing w:after="0" w:line="229" w:lineRule="auto"/>
        <w:tabs>
          <w:tab w:leader="none" w:pos="308" w:val="left"/>
        </w:tabs>
        <w:numPr>
          <w:ilvl w:val="0"/>
          <w:numId w:val="5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Depreciation expense was $296 million in 2022, $275 million in 2021 and $285 million in 2020. Buildings are depreciated over periods ranging from 7 to 45 years. Machinery and equipment are depreciated over periods generally ranging from 2 to 20 years.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
        </w:trPr>
        <w:tc>
          <w:tcPr>
            <w:tcW w:w="450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3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ROU assets, net of amortization</w:t>
            </w:r>
          </w:p>
        </w:tc>
        <w:tc>
          <w:tcPr>
            <w:tcW w:w="3940" w:type="dxa"/>
            <w:vAlign w:val="bottom"/>
            <w:gridSpan w:val="2"/>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239</w:t>
            </w:r>
          </w:p>
        </w:tc>
        <w:tc>
          <w:tcPr>
            <w:tcW w:w="12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0" w:type="dxa"/>
            <w:vAlign w:val="bottom"/>
          </w:tcPr>
          <w:p>
            <w:pPr>
              <w:spacing w:after="0"/>
              <w:rPr>
                <w:sz w:val="1"/>
                <w:szCs w:val="1"/>
                <w:color w:val="auto"/>
              </w:rPr>
            </w:pPr>
          </w:p>
        </w:tc>
      </w:tr>
      <w:tr>
        <w:trPr>
          <w:trHeight w:val="219"/>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Pension</w:t>
            </w:r>
          </w:p>
        </w:tc>
        <w:tc>
          <w:tcPr>
            <w:tcW w:w="3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r>
        <w:trPr>
          <w:trHeight w:val="219"/>
        </w:trPr>
        <w:tc>
          <w:tcPr>
            <w:tcW w:w="4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5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CCEEFF"/>
            </w:tcBorders>
            <w:shd w:val="clear" w:color="auto" w:fill="CCEEFF"/>
          </w:tcPr>
          <w:p>
            <w:pPr>
              <w:spacing w:after="0"/>
              <w:rPr>
                <w:sz w:val="20"/>
                <w:szCs w:val="20"/>
                <w:color w:val="auto"/>
              </w:rPr>
            </w:pPr>
          </w:p>
        </w:tc>
        <w:tc>
          <w:tcPr>
            <w:tcW w:w="3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bottom w:val="single" w:sz="8" w:color="CCEEFF"/>
            </w:tcBorders>
            <w:vMerge w:val="restart"/>
          </w:tcPr>
          <w:p>
            <w:pPr>
              <w:jc w:val="right"/>
              <w:ind w:right="2294"/>
              <w:spacing w:after="0"/>
              <w:rPr>
                <w:sz w:val="20"/>
                <w:szCs w:val="20"/>
                <w:color w:val="auto"/>
              </w:rPr>
            </w:pPr>
            <w:r>
              <w:rPr>
                <w:rFonts w:ascii="Times New Roman" w:cs="Times New Roman" w:eastAsia="Times New Roman" w:hAnsi="Times New Roman"/>
                <w:sz w:val="17"/>
                <w:szCs w:val="17"/>
                <w:color w:val="auto"/>
              </w:rPr>
              <w:t>71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50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500" w:type="dxa"/>
            <w:vAlign w:val="bottom"/>
            <w:tcBorders>
              <w:bottom w:val="single" w:sz="8" w:color="9A9A9A"/>
            </w:tcBorders>
          </w:tcPr>
          <w:p>
            <w:pPr>
              <w:spacing w:after="0"/>
              <w:rPr>
                <w:sz w:val="16"/>
                <w:szCs w:val="16"/>
                <w:color w:val="auto"/>
              </w:rPr>
            </w:pPr>
          </w:p>
        </w:tc>
        <w:tc>
          <w:tcPr>
            <w:tcW w:w="358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82"/>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3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216</w:t>
            </w: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Fair value of derivatives</w:t>
            </w: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trade and consumer promotion programs</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interest</w:t>
            </w: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64</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Restructuring</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7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97</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621</w:t>
            </w:r>
          </w:p>
        </w:tc>
        <w:tc>
          <w:tcPr>
            <w:tcW w:w="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73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Pension benefits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107</w:t>
            </w: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Postretirement benefits</w:t>
            </w: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compensation</w:t>
            </w: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Unrecognized tax benefits</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7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70</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603</w:t>
            </w:r>
          </w:p>
        </w:tc>
        <w:tc>
          <w:tcPr>
            <w:tcW w:w="4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Statements of Earnings</w:t>
            </w:r>
          </w:p>
        </w:tc>
        <w:tc>
          <w:tcPr>
            <w:tcW w:w="7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73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expenses / (income)</w:t>
            </w: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700" w:type="dxa"/>
            <w:vAlign w:val="bottom"/>
          </w:tcPr>
          <w:p>
            <w:pPr>
              <w:jc w:val="right"/>
              <w:ind w:right="51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w:t>
            </w:r>
          </w:p>
        </w:tc>
        <w:tc>
          <w:tcPr>
            <w:tcW w:w="12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periodic benefit expense (income) other than the service cost</w:t>
            </w: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(23)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40" w:type="dxa"/>
            <w:vAlign w:val="bottom"/>
          </w:tcPr>
          <w:p>
            <w:pPr>
              <w:ind w:left="140"/>
              <w:spacing w:after="0" w:line="219" w:lineRule="exact"/>
              <w:rPr>
                <w:sz w:val="20"/>
                <w:szCs w:val="20"/>
                <w:color w:val="auto"/>
              </w:rPr>
            </w:pPr>
            <w:r>
              <w:rPr>
                <w:rFonts w:ascii="Times New Roman" w:cs="Times New Roman" w:eastAsia="Times New Roman" w:hAnsi="Times New Roman"/>
                <w:sz w:val="17"/>
                <w:szCs w:val="17"/>
                <w:color w:val="auto"/>
              </w:rPr>
              <w:t>Investment losses</w:t>
            </w:r>
            <w:r>
              <w:rPr>
                <w:rFonts w:ascii="Times New Roman" w:cs="Times New Roman" w:eastAsia="Times New Roman" w:hAnsi="Times New Roman"/>
                <w:sz w:val="22"/>
                <w:szCs w:val="22"/>
                <w:color w:val="auto"/>
                <w:vertAlign w:val="superscript"/>
              </w:rPr>
              <w:t>(1)</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4"/>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7"/>
                <w:szCs w:val="17"/>
                <w:color w:val="auto"/>
              </w:rPr>
              <w:t>Loss on sales of businesses</w:t>
            </w:r>
            <w:r>
              <w:rPr>
                <w:rFonts w:ascii="Times New Roman" w:cs="Times New Roman" w:eastAsia="Times New Roman" w:hAnsi="Times New Roman"/>
                <w:sz w:val="22"/>
                <w:szCs w:val="22"/>
                <w:color w:val="auto"/>
                <w:vertAlign w:val="superscript"/>
              </w:rPr>
              <w:t>(2)</w:t>
            </w: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Transition services fees</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w w:val="98"/>
              </w:rPr>
              <w:t>(27)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7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340" w:type="dxa"/>
            <w:vAlign w:val="bottom"/>
          </w:tcPr>
          <w:p>
            <w:pPr>
              <w:spacing w:after="0"/>
              <w:rPr>
                <w:sz w:val="18"/>
                <w:szCs w:val="18"/>
                <w:color w:val="auto"/>
              </w:rPr>
            </w:pPr>
          </w:p>
        </w:tc>
        <w:tc>
          <w:tcPr>
            <w:tcW w:w="7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Advertising and consumer promotion expense</w:t>
            </w:r>
            <w:r>
              <w:rPr>
                <w:rFonts w:ascii="Times New Roman" w:cs="Times New Roman" w:eastAsia="Times New Roman" w:hAnsi="Times New Roman"/>
                <w:sz w:val="22"/>
                <w:szCs w:val="22"/>
                <w:color w:val="auto"/>
                <w:vertAlign w:val="superscript"/>
              </w:rPr>
              <w:t>(3)</w:t>
            </w:r>
          </w:p>
        </w:tc>
        <w:tc>
          <w:tcPr>
            <w:tcW w:w="700" w:type="dxa"/>
            <w:vAlign w:val="bottom"/>
          </w:tcPr>
          <w:p>
            <w:pPr>
              <w:jc w:val="right"/>
              <w:ind w:right="51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314</w:t>
            </w:r>
          </w:p>
        </w:tc>
        <w:tc>
          <w:tcPr>
            <w:tcW w:w="12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w w:val="93"/>
              </w:rPr>
              <w:t>399</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73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3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Interest expense</w:t>
            </w:r>
            <w:r>
              <w:rPr>
                <w:rFonts w:ascii="Times New Roman" w:cs="Times New Roman" w:eastAsia="Times New Roman" w:hAnsi="Times New Roman"/>
                <w:sz w:val="22"/>
                <w:szCs w:val="22"/>
                <w:color w:val="auto"/>
                <w:vertAlign w:val="superscript"/>
              </w:rPr>
              <w:t>(4)</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70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191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Less: Interest capitalized</w:t>
            </w:r>
          </w:p>
        </w:tc>
        <w:tc>
          <w:tcPr>
            <w:tcW w:w="7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189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w:t>
      </w:r>
    </w:p>
    <w:p>
      <w:pPr>
        <w:spacing w:after="0" w:line="64" w:lineRule="exact"/>
        <w:rPr>
          <w:sz w:val="20"/>
          <w:szCs w:val="20"/>
          <w:color w:val="auto"/>
        </w:rPr>
      </w:pPr>
    </w:p>
    <w:p>
      <w:pPr>
        <w:ind w:left="300" w:hanging="297"/>
        <w:spacing w:after="0"/>
        <w:tabs>
          <w:tab w:leader="none" w:pos="300" w:val="left"/>
        </w:tabs>
        <w:numPr>
          <w:ilvl w:val="0"/>
          <w:numId w:val="5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2020 includes a loss of $45 million related to Acre. See Note 14 for additional information.</w:t>
      </w:r>
    </w:p>
    <w:p>
      <w:pPr>
        <w:spacing w:after="0" w:line="52" w:lineRule="exact"/>
        <w:rPr>
          <w:rFonts w:ascii="Times New Roman" w:cs="Times New Roman" w:eastAsia="Times New Roman" w:hAnsi="Times New Roman"/>
          <w:sz w:val="22"/>
          <w:szCs w:val="22"/>
          <w:color w:val="auto"/>
          <w:vertAlign w:val="superscript"/>
        </w:rPr>
      </w:pPr>
    </w:p>
    <w:p>
      <w:pPr>
        <w:ind w:left="320" w:hanging="317"/>
        <w:spacing w:after="0" w:line="219" w:lineRule="auto"/>
        <w:tabs>
          <w:tab w:leader="none" w:pos="308" w:val="left"/>
        </w:tabs>
        <w:numPr>
          <w:ilvl w:val="0"/>
          <w:numId w:val="5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2021, we recognized a loss of $11 million on the sale of the Plum baby food and snacks business. In 2020, we recognized a loss of $64 million on the sale of the European chips business. See Note 3 for additional information.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5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in Marketing and selling expenses.</w:t>
      </w:r>
    </w:p>
    <w:p>
      <w:pPr>
        <w:spacing w:after="0" w:line="52" w:lineRule="exact"/>
        <w:rPr>
          <w:rFonts w:ascii="Times New Roman" w:cs="Times New Roman" w:eastAsia="Times New Roman" w:hAnsi="Times New Roman"/>
          <w:sz w:val="22"/>
          <w:szCs w:val="22"/>
          <w:color w:val="auto"/>
          <w:vertAlign w:val="superscript"/>
        </w:rPr>
      </w:pPr>
    </w:p>
    <w:p>
      <w:pPr>
        <w:jc w:val="both"/>
        <w:ind w:left="320" w:hanging="317"/>
        <w:spacing w:after="0" w:line="229" w:lineRule="auto"/>
        <w:tabs>
          <w:tab w:leader="none" w:pos="308" w:val="left"/>
        </w:tabs>
        <w:numPr>
          <w:ilvl w:val="0"/>
          <w:numId w:val="5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2022, we recognized a loss of $4 million (including $3 million of premium and other costs) on the extinguishment of debt. In 2020, we recognized a loss of $75 million (including $65 million of premium, fees and other costs paid with the tender offers and unamortized debt issuance costs). See Note 12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i w:val="1"/>
          <w:iCs w:val="1"/>
          <w:color w:val="auto"/>
        </w:rPr>
        <w:t>Statements of Cash Flows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5"/>
                <w:szCs w:val="15"/>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2780" w:type="dxa"/>
            <w:vAlign w:val="bottom"/>
            <w:tcBorders>
              <w:bottom w:val="single" w:sz="8" w:color="auto"/>
            </w:tcBorders>
            <w:shd w:val="clear" w:color="auto" w:fill="CCEEFF"/>
          </w:tcPr>
          <w:p>
            <w:pPr>
              <w:spacing w:after="0" w:line="160" w:lineRule="exact"/>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740" w:type="dxa"/>
            <w:vAlign w:val="bottom"/>
            <w:tcBorders>
              <w:bottom w:val="single" w:sz="8" w:color="CCEEFF"/>
            </w:tcBorders>
            <w:shd w:val="clear" w:color="auto" w:fill="CCEEFF"/>
          </w:tcPr>
          <w:p>
            <w:pPr>
              <w:spacing w:after="0"/>
              <w:rPr>
                <w:sz w:val="15"/>
                <w:szCs w:val="15"/>
                <w:color w:val="auto"/>
              </w:rPr>
            </w:pPr>
          </w:p>
        </w:tc>
        <w:tc>
          <w:tcPr>
            <w:tcW w:w="28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19"/>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non-cash charges to net earnings</w:t>
            </w:r>
          </w:p>
        </w:tc>
        <w:tc>
          <w:tcPr>
            <w:tcW w:w="2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Operating lease ROU asset expense</w:t>
            </w:r>
          </w:p>
        </w:tc>
        <w:tc>
          <w:tcPr>
            <w:tcW w:w="3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Amortization of debt issuance costs/debt discount</w:t>
            </w:r>
          </w:p>
        </w:tc>
        <w:tc>
          <w:tcPr>
            <w:tcW w:w="2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Benefit related expense</w:t>
            </w:r>
          </w:p>
        </w:tc>
        <w:tc>
          <w:tcPr>
            <w:tcW w:w="2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40" w:type="dxa"/>
            <w:vAlign w:val="bottom"/>
          </w:tcPr>
          <w:p>
            <w:pPr>
              <w:spacing w:after="0"/>
              <w:rPr>
                <w:sz w:val="19"/>
                <w:szCs w:val="19"/>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Other</w:t>
            </w:r>
          </w:p>
        </w:tc>
        <w:tc>
          <w:tcPr>
            <w:tcW w:w="2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0" w:type="dxa"/>
            <w:vAlign w:val="bottom"/>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28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88</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40" w:type="dxa"/>
            <w:vAlign w:val="bottom"/>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8"/>
        </w:trPr>
        <w:tc>
          <w:tcPr>
            <w:tcW w:w="20" w:type="dxa"/>
            <w:vAlign w:val="bottom"/>
            <w:shd w:val="clear" w:color="auto" w:fill="CCEEFF"/>
          </w:tcPr>
          <w:p>
            <w:pPr>
              <w:spacing w:after="0"/>
              <w:rPr>
                <w:sz w:val="22"/>
                <w:szCs w:val="22"/>
                <w:color w:val="auto"/>
              </w:rPr>
            </w:pPr>
          </w:p>
        </w:tc>
        <w:tc>
          <w:tcPr>
            <w:tcW w:w="27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28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19"/>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2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Benefit related payments</w:t>
            </w:r>
          </w:p>
        </w:tc>
        <w:tc>
          <w:tcPr>
            <w:tcW w:w="3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40" w:type="dxa"/>
            <w:vAlign w:val="bottom"/>
          </w:tcPr>
          <w:p>
            <w:pPr>
              <w:spacing w:after="0"/>
              <w:rPr>
                <w:sz w:val="19"/>
                <w:szCs w:val="19"/>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2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40" w:type="dxa"/>
            <w:vAlign w:val="bottom"/>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28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40" w:type="dxa"/>
            <w:vAlign w:val="bottom"/>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9"/>
        </w:trPr>
        <w:tc>
          <w:tcPr>
            <w:tcW w:w="2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Cash Flow Information</w:t>
            </w:r>
          </w:p>
        </w:tc>
        <w:tc>
          <w:tcPr>
            <w:tcW w:w="2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Interest paid</w:t>
            </w:r>
          </w:p>
        </w:tc>
        <w:tc>
          <w:tcPr>
            <w:tcW w:w="30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188</w:t>
            </w:r>
          </w:p>
        </w:tc>
        <w:tc>
          <w:tcPr>
            <w:tcW w:w="120" w:type="dxa"/>
            <w:vAlign w:val="bottom"/>
          </w:tcPr>
          <w:p>
            <w:pPr>
              <w:spacing w:after="0"/>
              <w:rPr>
                <w:sz w:val="19"/>
                <w:szCs w:val="19"/>
                <w:color w:val="auto"/>
              </w:rPr>
            </w:pP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2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received</w:t>
            </w:r>
          </w:p>
        </w:tc>
        <w:tc>
          <w:tcPr>
            <w:tcW w:w="30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 taxes paid</w:t>
            </w:r>
          </w:p>
        </w:tc>
        <w:tc>
          <w:tcPr>
            <w:tcW w:w="30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196</w:t>
            </w:r>
          </w:p>
        </w:tc>
        <w:tc>
          <w:tcPr>
            <w:tcW w:w="120" w:type="dxa"/>
            <w:vAlign w:val="bottom"/>
          </w:tcPr>
          <w:p>
            <w:pPr>
              <w:spacing w:after="0"/>
              <w:rPr>
                <w:sz w:val="19"/>
                <w:szCs w:val="19"/>
                <w:color w:val="auto"/>
              </w:rPr>
            </w:pP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2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40" w:type="dxa"/>
            <w:vAlign w:val="bottom"/>
          </w:tcPr>
          <w:p>
            <w:pPr>
              <w:spacing w:after="0"/>
              <w:rPr>
                <w:sz w:val="19"/>
                <w:szCs w:val="19"/>
                <w:color w:val="auto"/>
              </w:rPr>
            </w:pPr>
          </w:p>
        </w:tc>
      </w:tr>
      <w:tr>
        <w:trPr>
          <w:trHeight w:val="958"/>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0" w:type="dxa"/>
            <w:vAlign w:val="bottom"/>
          </w:tcPr>
          <w:p>
            <w:pPr>
              <w:jc w:val="right"/>
              <w:ind w:right="1554"/>
              <w:spacing w:after="0"/>
              <w:rPr>
                <w:sz w:val="20"/>
                <w:szCs w:val="20"/>
                <w:color w:val="auto"/>
              </w:rPr>
            </w:pPr>
            <w:r>
              <w:rPr>
                <w:rFonts w:ascii="Times New Roman" w:cs="Times New Roman" w:eastAsia="Times New Roman" w:hAnsi="Times New Roman"/>
                <w:sz w:val="17"/>
                <w:szCs w:val="17"/>
                <w:color w:val="auto"/>
              </w:rPr>
              <w:t>73</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6"/>
        </w:trPr>
        <w:tc>
          <w:tcPr>
            <w:tcW w:w="20" w:type="dxa"/>
            <w:vAlign w:val="bottom"/>
            <w:tcBorders>
              <w:bottom w:val="single" w:sz="8" w:color="9A9A9A"/>
            </w:tcBorders>
          </w:tcPr>
          <w:p>
            <w:pPr>
              <w:spacing w:after="0"/>
              <w:rPr>
                <w:sz w:val="16"/>
                <w:szCs w:val="16"/>
                <w:color w:val="auto"/>
              </w:rPr>
            </w:pPr>
          </w:p>
        </w:tc>
        <w:tc>
          <w:tcPr>
            <w:tcW w:w="2780" w:type="dxa"/>
            <w:vAlign w:val="bottom"/>
            <w:tcBorders>
              <w:bottom w:val="single" w:sz="8" w:color="9A9A9A"/>
            </w:tcBorders>
          </w:tcPr>
          <w:p>
            <w:pPr>
              <w:spacing w:after="0"/>
              <w:rPr>
                <w:sz w:val="16"/>
                <w:szCs w:val="16"/>
                <w:color w:val="auto"/>
              </w:rPr>
            </w:pPr>
          </w:p>
        </w:tc>
        <w:tc>
          <w:tcPr>
            <w:tcW w:w="1740" w:type="dxa"/>
            <w:vAlign w:val="bottom"/>
            <w:tcBorders>
              <w:bottom w:val="single" w:sz="8" w:color="9A9A9A"/>
            </w:tcBorders>
          </w:tcPr>
          <w:p>
            <w:pPr>
              <w:spacing w:after="0"/>
              <w:rPr>
                <w:sz w:val="16"/>
                <w:szCs w:val="16"/>
                <w:color w:val="auto"/>
              </w:rPr>
            </w:pPr>
          </w:p>
        </w:tc>
        <w:tc>
          <w:tcPr>
            <w:tcW w:w="28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246"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management of Campbell Soup Company (the Company) is responsible for establishing and maintaining adequate internal control over financial reporting (as such term is defined in Rule 13a-15(e) under the Securities Exchange Act of 1934, as amended).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Company's internal control over financial reporting includes those policies and procedures that:</w:t>
      </w:r>
    </w:p>
    <w:p>
      <w:pPr>
        <w:spacing w:after="0" w:line="101" w:lineRule="exact"/>
        <w:rPr>
          <w:sz w:val="20"/>
          <w:szCs w:val="20"/>
          <w:color w:val="auto"/>
        </w:rPr>
      </w:pPr>
    </w:p>
    <w:p>
      <w:pPr>
        <w:ind w:left="620" w:hanging="308"/>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dispositions of the assets of the Company;</w:t>
      </w:r>
    </w:p>
    <w:p>
      <w:pPr>
        <w:spacing w:after="0" w:line="100" w:lineRule="exact"/>
        <w:rPr>
          <w:rFonts w:ascii="Times New Roman" w:cs="Times New Roman" w:eastAsia="Times New Roman" w:hAnsi="Times New Roman"/>
          <w:sz w:val="17"/>
          <w:szCs w:val="17"/>
          <w:color w:val="auto"/>
        </w:rPr>
      </w:pPr>
    </w:p>
    <w:p>
      <w:pPr>
        <w:jc w:val="both"/>
        <w:ind w:left="620" w:hanging="308"/>
        <w:spacing w:after="0" w:line="269" w:lineRule="auto"/>
        <w:tabs>
          <w:tab w:leader="none" w:pos="61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38"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regarding prevention or timely detection of unauthorized acquisition, use, or disposition of the Company's assets that could have a material effect on the financial statements.</w:t>
      </w:r>
    </w:p>
    <w:p>
      <w:pPr>
        <w:spacing w:after="0" w:line="3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Because of its inherent limitations, any system of internal control over financial reporting, no matter how well defined,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 xml:space="preserve">The Company’s management assessed the effectiveness of the Company’s internal control over financial reporting as of July 31, 2022. In making this assessment, management used the criteria set forth by the Committee of Sponsoring Organizations of the Treadway Commission (COSO) in </w:t>
      </w:r>
      <w:r>
        <w:rPr>
          <w:rFonts w:ascii="Times New Roman" w:cs="Times New Roman" w:eastAsia="Times New Roman" w:hAnsi="Times New Roman"/>
          <w:sz w:val="17"/>
          <w:szCs w:val="17"/>
          <w:i w:val="1"/>
          <w:iCs w:val="1"/>
          <w:color w:val="auto"/>
        </w:rPr>
        <w:t>Internal Control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Integrated Framework (2013)</w:t>
      </w:r>
      <w:r>
        <w:rPr>
          <w:rFonts w:ascii="Times New Roman" w:cs="Times New Roman" w:eastAsia="Times New Roman" w:hAnsi="Times New Roman"/>
          <w:sz w:val="17"/>
          <w:szCs w:val="17"/>
          <w:color w:val="auto"/>
        </w:rPr>
        <w:t>. Based on this assessment using those criteria, management concluded that the Company’s internal control over financial reporting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was effective as of July 31, 2022.</w:t>
      </w:r>
    </w:p>
    <w:p>
      <w:pPr>
        <w:spacing w:after="0" w:line="4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effectiveness of the Company’s internal control over financial reporting as of July 31, 2022 has been audited by PricewaterhouseCoopers LLP, an independent registered public accounting firm, as stated in their report, which appears on the next page.</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Mark A.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17145</wp:posOffset>
            </wp:positionV>
            <wp:extent cx="33769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7693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Mark A. Clouse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17145</wp:posOffset>
            </wp:positionV>
            <wp:extent cx="33769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7693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Mick J. Beekhuizen</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17145</wp:posOffset>
            </wp:positionV>
            <wp:extent cx="33769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7693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Stanley Polomski</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Senior Vice President and Controller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(Principal Accounting Officer)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22, 2022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74" w:name="page75"/>
    <w:bookmarkEnd w:id="74"/>
    <w:p>
      <w:pPr>
        <w:ind w:left="3480"/>
        <w:spacing w:after="0"/>
        <w:rPr>
          <w:sz w:val="20"/>
          <w:szCs w:val="20"/>
          <w:color w:val="auto"/>
        </w:rPr>
      </w:pPr>
      <w:r>
        <w:rPr>
          <w:rFonts w:ascii="Times New Roman" w:cs="Times New Roman" w:eastAsia="Times New Roman" w:hAnsi="Times New Roman"/>
          <w:sz w:val="17"/>
          <w:szCs w:val="17"/>
          <w:b w:val="1"/>
          <w:bCs w:val="1"/>
          <w:u w:val="single" w:color="auto"/>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Shareholders of Campbell Soup Company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Opinions on the Financial Statements and Internal Control over Financial Reporting</w:t>
      </w:r>
    </w:p>
    <w:p>
      <w:pPr>
        <w:spacing w:after="0" w:line="1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Campbell Soup Company and its subsidiaries (the "Company") as of July 31, 2022 and August 1, 2021, and the related consolidated statements of earnings, of comprehensive income, of equity, and of cash flows for each of the three years in the period ended July 31, 2022, including the related notes and schedule of valuation and qualifying accounts for each of the three years in the period ended July 31, 2022 appearing on page 84 (collectively referred to as the "consolidated financial statements"). We also have audited the Company's internal control over financial reporting as of July 31, 2022,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the Committee of Sponsoring Organizations of the Treadway Commission (COSO).</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In our opinion, the consolidated financial statements referred to above present fairly, in all material respects, the financial position of the Company as of July 31, 2022 and August 1, 2021, and the results of its operations and its cash flows for each of the three years in the period ended July 31, 2022 in conformity with accounting principles generally accepted in the United States of America. Also in our opinion, the Company maintained, in all material respects, effective internal control over financial reporting as of July 31, 2022,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the COSO.</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Opinions</w:t>
      </w:r>
    </w:p>
    <w:p>
      <w:pPr>
        <w:spacing w:after="0" w:line="1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Definition and Limitations of Internal Control over Financial Reporting</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Audit Matters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Indefinite-lived Intangible Assets Impairment Test for Certain Trademarks</w:t>
      </w:r>
    </w:p>
    <w:p>
      <w:pPr>
        <w:spacing w:after="0" w:line="1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As described in Notes 1 and 5 to the consolidated financial statements, the Company’s indefinite-lived intangible assets (trademarks) were $2.549 billion as of July 31, 2022. Of the carrying value of all indefinite-lived trademarks, $350 million related to the </w:t>
      </w:r>
      <w:r>
        <w:rPr>
          <w:rFonts w:ascii="Times New Roman" w:cs="Times New Roman" w:eastAsia="Times New Roman" w:hAnsi="Times New Roman"/>
          <w:sz w:val="17"/>
          <w:szCs w:val="17"/>
          <w:i w:val="1"/>
          <w:iCs w:val="1"/>
          <w:color w:val="auto"/>
        </w:rPr>
        <w:t>Lance</w:t>
      </w:r>
      <w:r>
        <w:rPr>
          <w:rFonts w:ascii="Times New Roman" w:cs="Times New Roman" w:eastAsia="Times New Roman" w:hAnsi="Times New Roman"/>
          <w:sz w:val="17"/>
          <w:szCs w:val="17"/>
          <w:color w:val="auto"/>
        </w:rPr>
        <w:t xml:space="preserve"> trademark, $318 million related to the </w:t>
      </w:r>
      <w:r>
        <w:rPr>
          <w:rFonts w:ascii="Times New Roman" w:cs="Times New Roman" w:eastAsia="Times New Roman" w:hAnsi="Times New Roman"/>
          <w:sz w:val="17"/>
          <w:szCs w:val="17"/>
          <w:i w:val="1"/>
          <w:iCs w:val="1"/>
          <w:color w:val="auto"/>
        </w:rPr>
        <w:t>Kettle Brand</w:t>
      </w:r>
      <w:r>
        <w:rPr>
          <w:rFonts w:ascii="Times New Roman" w:cs="Times New Roman" w:eastAsia="Times New Roman" w:hAnsi="Times New Roman"/>
          <w:sz w:val="17"/>
          <w:szCs w:val="17"/>
          <w:color w:val="auto"/>
        </w:rPr>
        <w:t xml:space="preserve"> trademark, $292 million related to the </w:t>
      </w:r>
      <w:r>
        <w:rPr>
          <w:rFonts w:ascii="Times New Roman" w:cs="Times New Roman" w:eastAsia="Times New Roman" w:hAnsi="Times New Roman"/>
          <w:sz w:val="17"/>
          <w:szCs w:val="17"/>
          <w:i w:val="1"/>
          <w:iCs w:val="1"/>
          <w:color w:val="auto"/>
        </w:rPr>
        <w:t>Pace</w:t>
      </w:r>
      <w:r>
        <w:rPr>
          <w:rFonts w:ascii="Times New Roman" w:cs="Times New Roman" w:eastAsia="Times New Roman" w:hAnsi="Times New Roman"/>
          <w:sz w:val="17"/>
          <w:szCs w:val="17"/>
          <w:color w:val="auto"/>
        </w:rPr>
        <w:t xml:space="preserve"> trademark, and $280 million related to the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trademark. Management conducts a test at least annually for impairment, or when circumstances indicate that the carrying amount of the asset may not be recoverable. Indefinite-lived intangible assets are tested for impairment by comparing the fair value of the asset to the carrying value. Management determines fair value based on discounted cash flow analyses that include significant management assumptions such as revenue growth rates, weighted average costs of capital, and assumed royalty rates.</w:t>
      </w:r>
    </w:p>
    <w:p>
      <w:pPr>
        <w:spacing w:after="0" w:line="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The principal considerations for our determination that performing procedures relating to the indefinite-lived intangible assets impairment test for certain trademarks is a critical audit matter are (i) the high degree of auditor judgment and subjectivity involved in applying procedures relating to the fair value estimates of certain trademarks due to the significant judgment by management when developing these estimates, (ii) the significant audit effort in performing procedures and evaluating management’s significant assumptions related to revenue growth rates, weighted average costs of capital, and assumed royalty rates for the </w:t>
      </w:r>
      <w:r>
        <w:rPr>
          <w:rFonts w:ascii="Times New Roman" w:cs="Times New Roman" w:eastAsia="Times New Roman" w:hAnsi="Times New Roman"/>
          <w:sz w:val="17"/>
          <w:szCs w:val="17"/>
          <w:i w:val="1"/>
          <w:iCs w:val="1"/>
          <w:color w:val="auto"/>
        </w:rPr>
        <w:t>Pace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trademarks and the weighted average costs of capital and assumed royalty rates for the </w:t>
      </w:r>
      <w:r>
        <w:rPr>
          <w:rFonts w:ascii="Times New Roman" w:cs="Times New Roman" w:eastAsia="Times New Roman" w:hAnsi="Times New Roman"/>
          <w:sz w:val="17"/>
          <w:szCs w:val="17"/>
          <w:i w:val="1"/>
          <w:iCs w:val="1"/>
          <w:color w:val="auto"/>
        </w:rPr>
        <w:t>Kettle Brand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Lance</w:t>
      </w:r>
      <w:r>
        <w:rPr>
          <w:rFonts w:ascii="Times New Roman" w:cs="Times New Roman" w:eastAsia="Times New Roman" w:hAnsi="Times New Roman"/>
          <w:sz w:val="17"/>
          <w:szCs w:val="17"/>
          <w:color w:val="auto"/>
        </w:rPr>
        <w:t xml:space="preserve"> trademarks, and (iii) the audit effort involved the use of professionals with specialized skill and knowledge.</w:t>
      </w:r>
    </w:p>
    <w:p>
      <w:pPr>
        <w:spacing w:after="0" w:line="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Addressing the matter involved performing procedures and evaluating audit evidence in connection with forming our overall opinion on the consolidated financial statements. These procedures included testing the effectiveness of controls relating to management’s trademark impairment test. These procedures also included, among others (i) testing management’s process for developing the fair value estimates, (ii) evaluating the appropriateness of the discounted cash flow analyses, (iii) testing the completeness and accuracy of underlying data used in the discounted cash flow analyses, and (iv) evaluating the reasonableness of the significant assumptions used by management related to revenue growth rates, weighted average costs of capital, and assumed royalty rates for the </w:t>
      </w:r>
      <w:r>
        <w:rPr>
          <w:rFonts w:ascii="Times New Roman" w:cs="Times New Roman" w:eastAsia="Times New Roman" w:hAnsi="Times New Roman"/>
          <w:sz w:val="17"/>
          <w:szCs w:val="17"/>
          <w:i w:val="1"/>
          <w:iCs w:val="1"/>
          <w:color w:val="auto"/>
        </w:rPr>
        <w:t>Pace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trademarks and the weighted average costs of capital and assumed royalty rates for the </w:t>
      </w:r>
      <w:r>
        <w:rPr>
          <w:rFonts w:ascii="Times New Roman" w:cs="Times New Roman" w:eastAsia="Times New Roman" w:hAnsi="Times New Roman"/>
          <w:sz w:val="17"/>
          <w:szCs w:val="17"/>
          <w:i w:val="1"/>
          <w:iCs w:val="1"/>
          <w:color w:val="auto"/>
        </w:rPr>
        <w:t>Kettle Brand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Lance</w:t>
      </w:r>
      <w:r>
        <w:rPr>
          <w:rFonts w:ascii="Times New Roman" w:cs="Times New Roman" w:eastAsia="Times New Roman" w:hAnsi="Times New Roman"/>
          <w:sz w:val="17"/>
          <w:szCs w:val="17"/>
          <w:color w:val="auto"/>
        </w:rPr>
        <w:t xml:space="preserve"> trademarks. Evaluating management’s assumptions related to revenue growth rates involved evaluating whether the assumptions used by management were reasonable considering (i) the current and past performance associated with the trademarks, (ii) the consistency with external market and industry data, and (iii) whether these assumptions were consistent with evidence obtained in other areas of the audit. Professionals with specialized skill and knowledge were used to assist in the evaluation of the appropriateness of the Company’s discounted cash flow analyses and evaluating the reasonableness of the weighted average costs of capital and royalty rates significant assumptions.</w:t>
      </w: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3686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PricewaterhouseCoopers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Philadelphia, Pennsylvania</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September 22, 2022</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1954.</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color w:val="auto"/>
        </w:rPr>
        <w:t xml:space="preserve">Item 9. </w:t>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9A. </w:t>
      </w:r>
      <w:r>
        <w:rPr>
          <w:rFonts w:ascii="Times New Roman" w:cs="Times New Roman" w:eastAsia="Times New Roman" w:hAnsi="Times New Roman"/>
          <w:sz w:val="17"/>
          <w:szCs w:val="17"/>
          <w:b w:val="1"/>
          <w:bCs w:val="1"/>
          <w:i w:val="1"/>
          <w:iCs w:val="1"/>
          <w:color w:val="auto"/>
        </w:rPr>
        <w:t>Controls and Procedures</w:t>
      </w:r>
    </w:p>
    <w:p>
      <w:pPr>
        <w:spacing w:after="0" w:line="10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 13a-15(e) under the Exchange Act) as of July 31, 2022 (the Evaluation Date). Based on such evaluation, the President and Chief Executive Officer and the Executive Vice President and Chief Financial Officer have concluded that, as of the Evaluation Date, our disclosure controls and procedures are effective.</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annual report of management on our internal control over financial reporting is provided under "Financial Statements and Supplementary Data" on page</w:t>
      </w:r>
    </w:p>
    <w:p>
      <w:pPr>
        <w:spacing w:after="0" w:line="27" w:lineRule="exact"/>
        <w:rPr>
          <w:sz w:val="20"/>
          <w:szCs w:val="20"/>
          <w:color w:val="auto"/>
        </w:rPr>
      </w:pPr>
    </w:p>
    <w:p>
      <w:pPr>
        <w:ind w:firstLine="3"/>
        <w:spacing w:after="0" w:line="265" w:lineRule="auto"/>
        <w:tabs>
          <w:tab w:leader="none" w:pos="292"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attestation report of PricewaterhouseCoopers LLP, our independent registered public accounting firm, regarding our internal control over financial reporting is provided under "Financial Statements and Supplementary Data" on pages 75-76.</w:t>
      </w:r>
    </w:p>
    <w:p>
      <w:pPr>
        <w:spacing w:after="0" w:line="4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that materially affected, or were likely to materially affect, such internal control over financial reporting during the quarter ended July 31, 2022.</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9B. </w:t>
      </w:r>
      <w:r>
        <w:rPr>
          <w:rFonts w:ascii="Times New Roman" w:cs="Times New Roman" w:eastAsia="Times New Roman" w:hAnsi="Times New Roman"/>
          <w:sz w:val="17"/>
          <w:szCs w:val="17"/>
          <w:b w:val="1"/>
          <w:bCs w:val="1"/>
          <w:i w:val="1"/>
          <w:iCs w:val="1"/>
          <w:color w:val="auto"/>
        </w:rPr>
        <w:t>Other Information</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9C. </w:t>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10. </w:t>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10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sections entitled "Item 1 — Election of Directors" and "Voting Securities and Principal Shareholders — Ownership of Directors and Executive Officers" in our Proxy Statement for the 2022 Annual Meeting of Shareholders (the 2022 Proxy) are incorporated herein by reference. The information presented in the section entitled "Corporate Governance Policies and Practices — Board Meetings and Committees — Board Committee Structure" in the 2022 Proxy relating to the members of our Audit Committee and the Audit Committee’s financial experts is incorporated herein by reference.</w:t>
      </w:r>
    </w:p>
    <w:p>
      <w:pPr>
        <w:spacing w:after="0" w:line="5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Certain of the information required by this Item relating to our executive officers is set forth under the heading "Information about our Executive Officers" in this Report.</w:t>
      </w:r>
    </w:p>
    <w:p>
      <w:pPr>
        <w:spacing w:after="0" w:line="23"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have adopted a Code of Ethics for the Chief Executive Officer and Senior Financial Officers that applies to our Chief Executive Officer, Chief Financial Officer, Controller and members of the Chief Financial Officer’s financial leadership team. The Code of Ethics for the Chief Executive Officer and Senior Financial Officers is posted on the Investor portion of our website, www.campbellsoupcompany.com (under the "About Us—Investors—Governance— Governance Documents" caption). We intend to satisfy the disclosure requirement regarding any amendment to, or a waiver of, a provision of the Code of Ethics for the Chief Executive Officer and Senior Financial Officers by posting such information on our website.</w:t>
      </w:r>
    </w:p>
    <w:p>
      <w:pPr>
        <w:spacing w:after="0" w:line="5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 xml:space="preserve">We have also adopted a separate Code of Business Conduct and Ethics applicable to the Board of Directors, our officers and all of our employees. The Code of Business Conduct and Ethics is posted on the Investor portion of our website, </w:t>
      </w:r>
      <w:r>
        <w:rPr>
          <w:rFonts w:ascii="Times New Roman" w:cs="Times New Roman" w:eastAsia="Times New Roman" w:hAnsi="Times New Roman"/>
          <w:sz w:val="17"/>
          <w:szCs w:val="17"/>
          <w:u w:val="single" w:color="auto"/>
          <w:color w:val="auto"/>
        </w:rPr>
        <w:t>www.campbellsoupcompany.com</w:t>
      </w:r>
      <w:r>
        <w:rPr>
          <w:rFonts w:ascii="Times New Roman" w:cs="Times New Roman" w:eastAsia="Times New Roman" w:hAnsi="Times New Roman"/>
          <w:sz w:val="17"/>
          <w:szCs w:val="17"/>
          <w:color w:val="auto"/>
        </w:rPr>
        <w:t xml:space="preserve"> (under the "About Us—Investors—Governance— Governance Documents" caption). Our Corporate Governance Standards and the charters of our four standing committees of the Board of Directors can also be found at this website. Printed copies of the foregoing are available to any shareholder requesting a copy by:</w:t>
      </w:r>
    </w:p>
    <w:p>
      <w:pPr>
        <w:spacing w:after="0" w:line="54" w:lineRule="exact"/>
        <w:rPr>
          <w:sz w:val="20"/>
          <w:szCs w:val="20"/>
          <w:color w:val="auto"/>
        </w:rPr>
      </w:pPr>
    </w:p>
    <w:p>
      <w:pPr>
        <w:ind w:left="620" w:hanging="308"/>
        <w:spacing w:after="0"/>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writing to Investor Relations, Campbell Soup Company, 1 Campbell Place, Camden, NJ 08103-1799;</w:t>
      </w:r>
    </w:p>
    <w:p>
      <w:pPr>
        <w:spacing w:after="0" w:line="8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calling 856-342-6081; or</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e-mailing our Investor Relations Department at IR@campbells.com.</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11. </w:t>
      </w:r>
      <w:r>
        <w:rPr>
          <w:rFonts w:ascii="Times New Roman" w:cs="Times New Roman" w:eastAsia="Times New Roman" w:hAnsi="Times New Roman"/>
          <w:sz w:val="17"/>
          <w:szCs w:val="17"/>
          <w:b w:val="1"/>
          <w:bCs w:val="1"/>
          <w:i w:val="1"/>
          <w:iCs w:val="1"/>
          <w:color w:val="auto"/>
        </w:rPr>
        <w:t>Executive Compensation</w:t>
      </w:r>
    </w:p>
    <w:p>
      <w:pPr>
        <w:spacing w:after="0" w:line="10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information presented in the sections entitled "Compensation Discussion and Analysis," "Executive Compensation Tables," "Corporate Governance Policies and Practices — Compensation of Directors," "Corporate Governance Policies and Practices — Board Meetings and Committees — Board Committee Structure — Compensation and Organization Committee Interlocks and Insider Participation" and "Compensation Discussion and Analysis — Compensation and Organization Committee Report" in the 2022 Proxy is incorporated herein by reference.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color w:val="auto"/>
        </w:rPr>
        <w:t xml:space="preserve">Item 12. </w:t>
      </w:r>
      <w:r>
        <w:rPr>
          <w:rFonts w:ascii="Times New Roman" w:cs="Times New Roman" w:eastAsia="Times New Roman" w:hAnsi="Times New Roman"/>
          <w:sz w:val="17"/>
          <w:szCs w:val="17"/>
          <w:b w:val="1"/>
          <w:bCs w:val="1"/>
          <w:i w:val="1"/>
          <w:iCs w:val="1"/>
          <w:color w:val="auto"/>
        </w:rPr>
        <w:t>Security Ownership of Certain Beneficial Owners and Management and Related Shareholder Matters</w:t>
      </w:r>
    </w:p>
    <w:p>
      <w:pPr>
        <w:spacing w:after="0" w:line="94"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The information presented in the sections entitled "Voting Securities and Principal Shareholders — Ownership of Directors and Executive Officers" and "Voting Securities and Principal Shareholders — Principal Shareholders" in the 2022 Proxy is incorporated herein by reference.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provides information about the stock that could have been issued under our equity compensation plans as of July 31, 2022: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Securities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80" w:type="dxa"/>
            <w:vAlign w:val="bottom"/>
          </w:tcPr>
          <w:p>
            <w:pPr>
              <w:spacing w:after="0"/>
              <w:rPr>
                <w:sz w:val="11"/>
                <w:szCs w:val="11"/>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860" w:type="dxa"/>
            <w:vAlign w:val="bottom"/>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w w:val="97"/>
              </w:rPr>
              <w:t>Remaining Available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For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2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Securities to be</w:t>
            </w: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Future Issuance Under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62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4"/>
                <w:szCs w:val="14"/>
                <w:b w:val="1"/>
                <w:bCs w:val="1"/>
                <w:color w:val="auto"/>
                <w:w w:val="96"/>
              </w:rPr>
              <w:t>Issued Upon</w:t>
            </w:r>
          </w:p>
        </w:tc>
        <w:tc>
          <w:tcPr>
            <w:tcW w:w="180" w:type="dxa"/>
            <w:vAlign w:val="bottom"/>
          </w:tcPr>
          <w:p>
            <w:pPr>
              <w:spacing w:after="0"/>
              <w:rPr>
                <w:sz w:val="11"/>
                <w:szCs w:val="11"/>
                <w:color w:val="auto"/>
              </w:rPr>
            </w:pPr>
          </w:p>
        </w:tc>
        <w:tc>
          <w:tcPr>
            <w:tcW w:w="1360" w:type="dxa"/>
            <w:vAlign w:val="bottom"/>
            <w:gridSpan w:val="2"/>
          </w:tcPr>
          <w:p>
            <w:pPr>
              <w:jc w:val="center"/>
              <w:ind w:right="260"/>
              <w:spacing w:after="0" w:line="130" w:lineRule="exact"/>
              <w:rPr>
                <w:sz w:val="20"/>
                <w:szCs w:val="20"/>
                <w:color w:val="auto"/>
              </w:rPr>
            </w:pPr>
            <w:r>
              <w:rPr>
                <w:rFonts w:ascii="Times New Roman" w:cs="Times New Roman" w:eastAsia="Times New Roman" w:hAnsi="Times New Roman"/>
                <w:sz w:val="14"/>
                <w:szCs w:val="14"/>
                <w:b w:val="1"/>
                <w:bCs w:val="1"/>
                <w:color w:val="auto"/>
                <w:w w:val="97"/>
              </w:rPr>
              <w:t>Exercise Price of</w:t>
            </w:r>
          </w:p>
        </w:tc>
        <w:tc>
          <w:tcPr>
            <w:tcW w:w="1860" w:type="dxa"/>
            <w:vAlign w:val="bottom"/>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w w:val="98"/>
              </w:rPr>
              <w:t>Equity Compensation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2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Exercise of</w:t>
            </w: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18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Plans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2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18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Options,</w:t>
            </w:r>
          </w:p>
        </w:tc>
        <w:tc>
          <w:tcPr>
            <w:tcW w:w="1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(Excluding Securities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2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4"/>
                <w:szCs w:val="14"/>
                <w:b w:val="1"/>
                <w:bCs w:val="1"/>
                <w:color w:val="auto"/>
                <w:w w:val="97"/>
              </w:rPr>
              <w:t>Options, Warrants and</w:t>
            </w:r>
          </w:p>
        </w:tc>
        <w:tc>
          <w:tcPr>
            <w:tcW w:w="1540" w:type="dxa"/>
            <w:vAlign w:val="bottom"/>
            <w:gridSpan w:val="3"/>
          </w:tcPr>
          <w:p>
            <w:pPr>
              <w:jc w:val="center"/>
              <w:ind w:right="100"/>
              <w:spacing w:after="0" w:line="130" w:lineRule="exact"/>
              <w:rPr>
                <w:sz w:val="20"/>
                <w:szCs w:val="20"/>
                <w:color w:val="auto"/>
              </w:rPr>
            </w:pPr>
            <w:r>
              <w:rPr>
                <w:rFonts w:ascii="Times New Roman" w:cs="Times New Roman" w:eastAsia="Times New Roman" w:hAnsi="Times New Roman"/>
                <w:sz w:val="14"/>
                <w:szCs w:val="14"/>
                <w:b w:val="1"/>
                <w:bCs w:val="1"/>
                <w:color w:val="auto"/>
                <w:w w:val="97"/>
              </w:rPr>
              <w:t>Warrants and Rights</w:t>
            </w:r>
          </w:p>
        </w:tc>
        <w:tc>
          <w:tcPr>
            <w:tcW w:w="1860" w:type="dxa"/>
            <w:vAlign w:val="bottom"/>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w w:val="97"/>
              </w:rPr>
              <w:t>Reflected in the First Column)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20" w:type="dxa"/>
            <w:vAlign w:val="bottom"/>
            <w:gridSpan w:val="2"/>
            <w:vMerge w:val="continue"/>
          </w:tcPr>
          <w:p>
            <w:pPr>
              <w:spacing w:after="0"/>
              <w:rPr>
                <w:sz w:val="13"/>
                <w:szCs w:val="13"/>
                <w:color w:val="auto"/>
              </w:rPr>
            </w:pPr>
          </w:p>
        </w:tc>
        <w:tc>
          <w:tcPr>
            <w:tcW w:w="1620" w:type="dxa"/>
            <w:vAlign w:val="bottom"/>
            <w:gridSpan w:val="2"/>
          </w:tcPr>
          <w:p>
            <w:pPr>
              <w:jc w:val="center"/>
              <w:ind w:right="100"/>
              <w:spacing w:after="0" w:line="153" w:lineRule="exact"/>
              <w:rPr>
                <w:sz w:val="20"/>
                <w:szCs w:val="20"/>
                <w:color w:val="auto"/>
              </w:rPr>
            </w:pPr>
            <w:r>
              <w:rPr>
                <w:rFonts w:ascii="Times New Roman" w:cs="Times New Roman" w:eastAsia="Times New Roman" w:hAnsi="Times New Roman"/>
                <w:sz w:val="14"/>
                <w:szCs w:val="14"/>
                <w:b w:val="1"/>
                <w:bCs w:val="1"/>
                <w:color w:val="auto"/>
                <w:w w:val="95"/>
              </w:rPr>
              <w:t>Rights (a)</w:t>
            </w:r>
          </w:p>
        </w:tc>
        <w:tc>
          <w:tcPr>
            <w:tcW w:w="180" w:type="dxa"/>
            <w:vAlign w:val="bottom"/>
          </w:tcPr>
          <w:p>
            <w:pPr>
              <w:spacing w:after="0"/>
              <w:rPr>
                <w:sz w:val="13"/>
                <w:szCs w:val="13"/>
                <w:color w:val="auto"/>
              </w:rPr>
            </w:pPr>
          </w:p>
        </w:tc>
        <w:tc>
          <w:tcPr>
            <w:tcW w:w="1360" w:type="dxa"/>
            <w:vAlign w:val="bottom"/>
            <w:gridSpan w:val="2"/>
          </w:tcPr>
          <w:p>
            <w:pPr>
              <w:jc w:val="center"/>
              <w:ind w:right="280"/>
              <w:spacing w:after="0" w:line="153"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18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89"/>
              </w:rPr>
              <w:t>(c)</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spacing w:after="0" w:line="211" w:lineRule="exact"/>
              <w:rPr>
                <w:sz w:val="20"/>
                <w:szCs w:val="20"/>
                <w:color w:val="auto"/>
              </w:rPr>
            </w:pPr>
            <w:r>
              <w:rPr>
                <w:rFonts w:ascii="Times New Roman" w:cs="Times New Roman" w:eastAsia="Times New Roman" w:hAnsi="Times New Roman"/>
                <w:sz w:val="17"/>
                <w:szCs w:val="17"/>
                <w:color w:val="auto"/>
              </w:rPr>
              <w:t xml:space="preserve">Equity Compensation Plans Approved by Security Holders </w:t>
            </w:r>
            <w:r>
              <w:rPr>
                <w:rFonts w:ascii="Times New Roman" w:cs="Times New Roman" w:eastAsia="Times New Roman" w:hAnsi="Times New Roman"/>
                <w:sz w:val="22"/>
                <w:szCs w:val="22"/>
                <w:color w:val="auto"/>
                <w:vertAlign w:val="superscript"/>
              </w:rPr>
              <w:t>(1)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5,847,284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46.04</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rPr>
              <w:t>2,927,470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7"/>
                <w:szCs w:val="17"/>
                <w:color w:val="auto"/>
              </w:rPr>
              <w:t>N/A</w:t>
            </w:r>
          </w:p>
        </w:tc>
        <w:tc>
          <w:tcPr>
            <w:tcW w:w="180" w:type="dxa"/>
            <w:vAlign w:val="bottom"/>
          </w:tcPr>
          <w:p>
            <w:pPr>
              <w:spacing w:after="0"/>
              <w:rPr>
                <w:sz w:val="19"/>
                <w:szCs w:val="19"/>
                <w:color w:val="auto"/>
              </w:rPr>
            </w:pPr>
          </w:p>
        </w:tc>
        <w:tc>
          <w:tcPr>
            <w:tcW w:w="136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N/A</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5,847,284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46.04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rPr>
              <w:t>2,927,470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w:t>
      </w:r>
    </w:p>
    <w:p>
      <w:pPr>
        <w:spacing w:after="0" w:line="68" w:lineRule="exact"/>
        <w:rPr>
          <w:sz w:val="20"/>
          <w:szCs w:val="20"/>
          <w:color w:val="auto"/>
        </w:rPr>
      </w:pPr>
    </w:p>
    <w:p>
      <w:pPr>
        <w:jc w:val="both"/>
        <w:ind w:left="320" w:hanging="317"/>
        <w:spacing w:after="0" w:line="247" w:lineRule="auto"/>
        <w:tabs>
          <w:tab w:leader="none" w:pos="308" w:val="left"/>
        </w:tabs>
        <w:numPr>
          <w:ilvl w:val="0"/>
          <w:numId w:val="6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Column (a) represents stock options and restricted stock units outstanding under the 2015 Long-Term Incentive Plan and the 2005 Long-Term Incentive Plan. Column (a) includes 2,901,544 TSR performance restricted stock units and EPS CAGR performance restricted stock units based on the maximum number of shares potentially issuable under the awards, and the number of shares, if any, to be issued pursuant to such awards will be determined based upon performance during the applicable three-year performance period. No additional awards can be made under the 2005 Long-Term Incentive Plan. Future equity awards under the 2015 Long-Term Incentive Plan may take the form of stock options, stock appreciation rights, performance unit awards, restricted stock, restricted performance stock, restricted stock units, or stock awards. Column (b) represents the weighted-average exercise price of the outstanding stock options only; the outstanding restricted stock units are not included in this calculation. Column (c) represents the maximum number of future equity awards that can be made under the 2015 Long-Term Incentive Plan as of July 31,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13. </w:t>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9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 information presented in the section entitled "Corporate Governance Policies and Practices — Transactions with Related Persons," "Item 1 — Election of Directors," "Corporate Governance Policies and Practices — Director Independence" and "Corporate Governance Policies and Practices — Board Meetings and Committees — Board Committee Structure" in the 2022 Proxy is incorporated herein by reference.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14. </w:t>
      </w:r>
      <w:r>
        <w:rPr>
          <w:rFonts w:ascii="Times New Roman" w:cs="Times New Roman" w:eastAsia="Times New Roman" w:hAnsi="Times New Roman"/>
          <w:sz w:val="17"/>
          <w:szCs w:val="17"/>
          <w:b w:val="1"/>
          <w:bCs w:val="1"/>
          <w:i w:val="1"/>
          <w:iCs w:val="1"/>
          <w:color w:val="auto"/>
        </w:rPr>
        <w:t>Principal Accounting Fees and Services</w:t>
      </w:r>
    </w:p>
    <w:p>
      <w:pPr>
        <w:spacing w:after="0" w:line="10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 information presented in the sections entitled "Item 2 — Ratification of Appointment of Independent Registered Public Accounting Firm — Audit Firm Fees and Services" and "Item 2 — Ratification of Appointment of Independent Registered Public Accounting Firm — Audit Committee Pre-Approval Policy" in the 2022 Proxy is incorporated herein by reference.</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15. </w:t>
      </w:r>
      <w:r>
        <w:rPr>
          <w:rFonts w:ascii="Times New Roman" w:cs="Times New Roman" w:eastAsia="Times New Roman" w:hAnsi="Times New Roman"/>
          <w:sz w:val="17"/>
          <w:szCs w:val="17"/>
          <w:b w:val="1"/>
          <w:bCs w:val="1"/>
          <w:i w:val="1"/>
          <w:iCs w:val="1"/>
          <w:color w:val="auto"/>
        </w:rPr>
        <w:t>Exhibits and Financial Statement Schedules</w:t>
      </w:r>
    </w:p>
    <w:p>
      <w:pPr>
        <w:spacing w:after="0" w:line="107" w:lineRule="exact"/>
        <w:rPr>
          <w:sz w:val="20"/>
          <w:szCs w:val="20"/>
          <w:color w:val="auto"/>
        </w:rPr>
      </w:pPr>
    </w:p>
    <w:p>
      <w:pPr>
        <w:ind w:left="240" w:hanging="237"/>
        <w:spacing w:after="0"/>
        <w:tabs>
          <w:tab w:leader="none" w:pos="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documents are filed as part of this Report:</w:t>
      </w:r>
    </w:p>
    <w:p>
      <w:pPr>
        <w:spacing w:after="0" w:line="81" w:lineRule="exact"/>
        <w:rPr>
          <w:rFonts w:ascii="Times New Roman" w:cs="Times New Roman" w:eastAsia="Times New Roman" w:hAnsi="Times New Roman"/>
          <w:sz w:val="17"/>
          <w:szCs w:val="17"/>
          <w:color w:val="auto"/>
        </w:rPr>
      </w:pPr>
    </w:p>
    <w:p>
      <w:pPr>
        <w:ind w:left="520" w:hanging="208"/>
        <w:spacing w:after="0"/>
        <w:tabs>
          <w:tab w:leader="none" w:pos="520" w:val="left"/>
        </w:tabs>
        <w:numPr>
          <w:ilvl w:val="1"/>
          <w:numId w:val="6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Financial Statements</w:t>
      </w:r>
    </w:p>
    <w:p>
      <w:pPr>
        <w:spacing w:after="0" w:line="1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Consolidated Statements of Earnings for 2022, 2021 and 2020</w:t>
      </w:r>
    </w:p>
    <w:p>
      <w:pPr>
        <w:spacing w:after="0" w:line="1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Consolidated Statements of Comprehensive Income for 2022, 2021 and 2020</w:t>
      </w:r>
    </w:p>
    <w:p>
      <w:pPr>
        <w:spacing w:after="0" w:line="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Consolidated Balance Sheets as of July 31, 2022 and August 1, 2021</w:t>
      </w:r>
    </w:p>
    <w:p>
      <w:pPr>
        <w:spacing w:after="0" w:line="1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Consolidated Statements of Cash Flows for 2022, 2021 and 2020</w:t>
      </w:r>
    </w:p>
    <w:p>
      <w:pPr>
        <w:spacing w:after="0" w:line="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Consolidated Statements of Equity for 2022, 2021 and 2020</w:t>
      </w:r>
    </w:p>
    <w:p>
      <w:pPr>
        <w:spacing w:after="0" w:line="1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Management's Report on Internal Control Over Financial Reporting</w:t>
      </w:r>
    </w:p>
    <w:p>
      <w:pPr>
        <w:spacing w:after="0" w:line="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(PCAOB ID 238)</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78" w:name="page79"/>
    <w:bookmarkEnd w:id="78"/>
    <w:p>
      <w:pPr>
        <w:ind w:left="520" w:hanging="208"/>
        <w:spacing w:after="0"/>
        <w:tabs>
          <w:tab w:leader="none" w:pos="520" w:val="left"/>
        </w:tabs>
        <w:numPr>
          <w:ilvl w:val="0"/>
          <w:numId w:val="6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Financial Statement Schedule</w:t>
      </w:r>
    </w:p>
    <w:p>
      <w:pPr>
        <w:spacing w:after="0" w:line="93" w:lineRule="exact"/>
        <w:rPr>
          <w:rFonts w:ascii="Times New Roman" w:cs="Times New Roman" w:eastAsia="Times New Roman" w:hAnsi="Times New Roman"/>
          <w:sz w:val="17"/>
          <w:szCs w:val="17"/>
          <w:b w:val="1"/>
          <w:bCs w:val="1"/>
          <w:i w:val="1"/>
          <w:iCs w:val="1"/>
          <w:color w:val="auto"/>
        </w:rPr>
      </w:pPr>
    </w:p>
    <w:p>
      <w:pPr>
        <w:ind w:left="620"/>
        <w:spacing w:after="0"/>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II - Valuation and Qualifying Accounts for 2022, 2021 and 2020</w:t>
      </w:r>
    </w:p>
    <w:p>
      <w:pPr>
        <w:spacing w:after="0" w:line="94" w:lineRule="exact"/>
        <w:rPr>
          <w:rFonts w:ascii="Times New Roman" w:cs="Times New Roman" w:eastAsia="Times New Roman" w:hAnsi="Times New Roman"/>
          <w:sz w:val="17"/>
          <w:szCs w:val="17"/>
          <w:b w:val="1"/>
          <w:bCs w:val="1"/>
          <w:i w:val="1"/>
          <w:iCs w:val="1"/>
          <w:color w:val="auto"/>
        </w:rPr>
      </w:pPr>
    </w:p>
    <w:p>
      <w:pPr>
        <w:ind w:left="520" w:hanging="208"/>
        <w:spacing w:after="0"/>
        <w:tabs>
          <w:tab w:leader="none" w:pos="520" w:val="left"/>
        </w:tabs>
        <w:numPr>
          <w:ilvl w:val="0"/>
          <w:numId w:val="6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Exhibits</w:t>
      </w:r>
    </w:p>
    <w:p>
      <w:pPr>
        <w:spacing w:after="0" w:line="1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Reference is made to Item 15(b) below.</w:t>
      </w:r>
    </w:p>
    <w:p>
      <w:pPr>
        <w:spacing w:after="0" w:line="84" w:lineRule="exact"/>
        <w:rPr>
          <w:sz w:val="20"/>
          <w:szCs w:val="20"/>
          <w:color w:val="auto"/>
        </w:rPr>
      </w:pPr>
    </w:p>
    <w:p>
      <w:pPr>
        <w:ind w:left="280" w:hanging="238"/>
        <w:spacing w:after="0"/>
        <w:tabs>
          <w:tab w:leader="none" w:pos="2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Exhibits</w:t>
      </w:r>
      <w:r>
        <w:rPr>
          <w:rFonts w:ascii="Times New Roman" w:cs="Times New Roman" w:eastAsia="Times New Roman" w:hAnsi="Times New Roman"/>
          <w:sz w:val="17"/>
          <w:szCs w:val="17"/>
          <w:color w:val="auto"/>
        </w:rPr>
        <w:t>. The Exhibit Index, which immediately precedes the signature page, is incorporated by reference into this Report.</w:t>
      </w:r>
    </w:p>
    <w:p>
      <w:pPr>
        <w:spacing w:after="0" w:line="100" w:lineRule="exact"/>
        <w:rPr>
          <w:rFonts w:ascii="Times New Roman" w:cs="Times New Roman" w:eastAsia="Times New Roman" w:hAnsi="Times New Roman"/>
          <w:sz w:val="17"/>
          <w:szCs w:val="17"/>
          <w:color w:val="auto"/>
        </w:rPr>
      </w:pPr>
    </w:p>
    <w:p>
      <w:pPr>
        <w:ind w:left="280" w:hanging="238"/>
        <w:spacing w:after="0"/>
        <w:tabs>
          <w:tab w:leader="none" w:pos="2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Financial Statement Schedules</w:t>
      </w:r>
      <w:r>
        <w:rPr>
          <w:rFonts w:ascii="Times New Roman" w:cs="Times New Roman" w:eastAsia="Times New Roman" w:hAnsi="Times New Roman"/>
          <w:sz w:val="17"/>
          <w:szCs w:val="17"/>
          <w:color w:val="auto"/>
        </w:rPr>
        <w:t>. Reference is made to Item 15(a)(2) above.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16. </w:t>
      </w:r>
      <w:r>
        <w:rPr>
          <w:rFonts w:ascii="Times New Roman" w:cs="Times New Roman" w:eastAsia="Times New Roman" w:hAnsi="Times New Roman"/>
          <w:sz w:val="17"/>
          <w:szCs w:val="17"/>
          <w:b w:val="1"/>
          <w:bCs w:val="1"/>
          <w:i w:val="1"/>
          <w:iCs w:val="1"/>
          <w:color w:val="auto"/>
        </w:rPr>
        <w:t>Form 10-K Summary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941" w:right="1440"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7"/>
          <w:szCs w:val="17"/>
          <w:color w:val="auto"/>
        </w:rPr>
        <w:t>INDEX TO EXHIBITS</w:t>
      </w:r>
    </w:p>
    <w:p>
      <w:pPr>
        <w:spacing w:after="0" w:line="139" w:lineRule="exact"/>
        <w:rPr>
          <w:sz w:val="20"/>
          <w:szCs w:val="20"/>
          <w:color w:val="auto"/>
        </w:rPr>
      </w:pPr>
    </w:p>
    <w:p>
      <w:pPr>
        <w:ind w:left="1140" w:right="20" w:hanging="1107"/>
        <w:spacing w:after="0" w:line="239" w:lineRule="auto"/>
        <w:tabs>
          <w:tab w:leader="none" w:pos="1140" w:val="left"/>
        </w:tabs>
        <w:numPr>
          <w:ilvl w:val="0"/>
          <w:numId w:val="65"/>
        </w:numPr>
        <w:rPr>
          <w:rFonts w:ascii="Times New Roman" w:cs="Times New Roman" w:eastAsia="Times New Roman" w:hAnsi="Times New Roman"/>
          <w:sz w:val="17"/>
          <w:szCs w:val="17"/>
          <w:u w:val="single" w:color="auto"/>
          <w:color w:val="0000FF"/>
        </w:rPr>
      </w:pPr>
      <w:hyperlink r:id="rId128">
        <w:r>
          <w:rPr>
            <w:rFonts w:ascii="Times New Roman" w:cs="Times New Roman" w:eastAsia="Times New Roman" w:hAnsi="Times New Roman"/>
            <w:sz w:val="17"/>
            <w:szCs w:val="17"/>
            <w:u w:val="single" w:color="auto"/>
            <w:color w:val="0000FF"/>
          </w:rPr>
          <w:t>Stock and Asset Purchase Agreement, dated August 1, 2019, by and among Campbell Soup Company and Snacking Investments BidCo Pty</w:t>
        </w:r>
      </w:hyperlink>
      <w:r>
        <w:rPr>
          <w:rFonts w:ascii="Times New Roman" w:cs="Times New Roman" w:eastAsia="Times New Roman" w:hAnsi="Times New Roman"/>
          <w:sz w:val="17"/>
          <w:szCs w:val="17"/>
          <w:u w:val="single" w:color="auto"/>
          <w:color w:val="0000FF"/>
        </w:rPr>
        <w:t xml:space="preserve"> </w:t>
      </w:r>
      <w:hyperlink r:id="rId128">
        <w:r>
          <w:rPr>
            <w:rFonts w:ascii="Times New Roman" w:cs="Times New Roman" w:eastAsia="Times New Roman" w:hAnsi="Times New Roman"/>
            <w:sz w:val="17"/>
            <w:szCs w:val="17"/>
            <w:u w:val="single" w:color="auto"/>
            <w:color w:val="0000FF"/>
          </w:rPr>
          <w:t>Limited, is incorporated by reference to Exhibit 2.1 to Campbell's Form 8-K (SEC file number 1-3822) filed with the SEC on August 7, 2019.</w:t>
        </w:r>
      </w:hyperlink>
    </w:p>
    <w:p>
      <w:pPr>
        <w:spacing w:after="0" w:line="88" w:lineRule="exact"/>
        <w:rPr>
          <w:rFonts w:ascii="Times New Roman" w:cs="Times New Roman" w:eastAsia="Times New Roman" w:hAnsi="Times New Roman"/>
          <w:sz w:val="17"/>
          <w:szCs w:val="17"/>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3(a)</w:t>
            </w:r>
          </w:p>
        </w:tc>
        <w:tc>
          <w:tcPr>
            <w:tcW w:w="10300" w:type="dxa"/>
            <w:vAlign w:val="bottom"/>
            <w:gridSpan w:val="28"/>
          </w:tcPr>
          <w:p>
            <w:pPr>
              <w:spacing w:after="0"/>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Campbell’s Restated Certificate of Incorporation, as amended through February 24, 1997, is incorporated by reference to Exhibit 3(i) to</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100" w:type="dxa"/>
            <w:vAlign w:val="bottom"/>
            <w:tcBorders>
              <w:top w:val="single" w:sz="8" w:color="0000FF"/>
            </w:tcBorders>
            <w:gridSpan w:val="18"/>
          </w:tcPr>
          <w:p>
            <w:pPr>
              <w:spacing w:after="0" w:line="147"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Campbell’s Form 10-K (SEC file number 1-3822) for the fiscal year ended July 28, 2002.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3(b)</w:t>
            </w:r>
          </w:p>
        </w:tc>
        <w:tc>
          <w:tcPr>
            <w:tcW w:w="1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140" w:type="dxa"/>
            <w:vAlign w:val="bottom"/>
            <w:vMerge w:val="continue"/>
          </w:tcPr>
          <w:p>
            <w:pPr>
              <w:spacing w:after="0"/>
              <w:rPr>
                <w:sz w:val="24"/>
                <w:szCs w:val="24"/>
                <w:color w:val="auto"/>
              </w:rPr>
            </w:pPr>
          </w:p>
        </w:tc>
        <w:tc>
          <w:tcPr>
            <w:tcW w:w="10300" w:type="dxa"/>
            <w:vAlign w:val="bottom"/>
            <w:gridSpan w:val="28"/>
          </w:tcPr>
          <w:p>
            <w:pPr>
              <w:spacing w:after="0"/>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By-Laws of Campbell Soup Company, amended and restated effective June 24, 2020, are incorporated by reference to Exhibit 3 to Campbell’s</w:t>
              </w:r>
            </w:hyperlink>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100" w:type="dxa"/>
            <w:vAlign w:val="bottom"/>
            <w:tcBorders>
              <w:top w:val="single" w:sz="8" w:color="0000FF"/>
              <w:bottom w:val="single" w:sz="8" w:color="0000FF"/>
            </w:tcBorders>
            <w:gridSpan w:val="7"/>
          </w:tcPr>
          <w:p>
            <w:pPr>
              <w:spacing w:after="0" w:line="173"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Form 8-K (SEC file number 1-3822) filed with the SEC on June 25, 2020.</w:t>
              </w:r>
            </w:hyperlink>
          </w:p>
        </w:tc>
        <w:tc>
          <w:tcPr>
            <w:tcW w:w="4700" w:type="dxa"/>
            <w:vAlign w:val="bottom"/>
            <w:tcBorders>
              <w:top w:val="single" w:sz="8" w:color="0000FF"/>
            </w:tcBorders>
            <w:gridSpan w:val="7"/>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5"/>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4(a)</w:t>
            </w:r>
          </w:p>
        </w:tc>
        <w:tc>
          <w:tcPr>
            <w:tcW w:w="10300" w:type="dxa"/>
            <w:vAlign w:val="bottom"/>
            <w:gridSpan w:val="28"/>
          </w:tcPr>
          <w:p>
            <w:pPr>
              <w:spacing w:after="0"/>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Indenture, dated November 24, 2008, between Campbell and The Bank of New York Mellon, as Trustee, is incorporated by reference to Exhibit</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60" w:type="dxa"/>
            <w:vAlign w:val="bottom"/>
            <w:tcBorders>
              <w:top w:val="single" w:sz="8" w:color="0000FF"/>
            </w:tcBorders>
            <w:gridSpan w:val="26"/>
          </w:tcPr>
          <w:p>
            <w:pPr>
              <w:spacing w:after="0" w:line="147"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4(a) to Campbell’s Registration Statement on Form S-3 (SEC file number 333-155626) filed with the SEC on November 24, 2008.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4(b)</w:t>
            </w:r>
          </w:p>
        </w:tc>
        <w:tc>
          <w:tcPr>
            <w:tcW w:w="10300" w:type="dxa"/>
            <w:vAlign w:val="bottom"/>
            <w:gridSpan w:val="28"/>
          </w:tcPr>
          <w:p>
            <w:pPr>
              <w:spacing w:after="0"/>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Form of First Supplemental Indenture, dated August 2, 2012, among Campbell, The Bank of New York Mellon and Wells Fargo Bank, National</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00" w:type="dxa"/>
            <w:vAlign w:val="bottom"/>
            <w:tcBorders>
              <w:top w:val="single" w:sz="8" w:color="0000FF"/>
            </w:tcBorders>
            <w:gridSpan w:val="23"/>
          </w:tcPr>
          <w:p>
            <w:pPr>
              <w:spacing w:after="0" w:line="147"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Association, as Series Trustee, to Indenture dated November 24, 2008, is incorporated by reference to Exhibit 4.1 to Campbell's Form 8-K (SEC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4060" w:type="dxa"/>
            <w:vAlign w:val="bottom"/>
            <w:tcBorders>
              <w:top w:val="single" w:sz="8" w:color="0000FF"/>
              <w:bottom w:val="single" w:sz="8" w:color="0000FF"/>
            </w:tcBorders>
            <w:gridSpan w:val="6"/>
          </w:tcPr>
          <w:p>
            <w:pPr>
              <w:spacing w:after="0" w:line="147"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file number 1-3822) filed with the SEC on August 2, 2012.</w:t>
              </w:r>
            </w:hyperlink>
          </w:p>
        </w:tc>
        <w:tc>
          <w:tcPr>
            <w:tcW w:w="606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4(c)</w:t>
            </w:r>
          </w:p>
        </w:tc>
        <w:tc>
          <w:tcPr>
            <w:tcW w:w="10300" w:type="dxa"/>
            <w:vAlign w:val="bottom"/>
            <w:gridSpan w:val="28"/>
          </w:tcPr>
          <w:p>
            <w:pPr>
              <w:spacing w:after="0"/>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Form of Subordinated Indenture between Campbell and Wells Fargo Bank, National Association, as Trustee, is incorporated by reference to</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080" w:type="dxa"/>
            <w:vAlign w:val="bottom"/>
            <w:tcBorders>
              <w:top w:val="single" w:sz="8" w:color="0000FF"/>
            </w:tcBorders>
            <w:gridSpan w:val="17"/>
          </w:tcPr>
          <w:p>
            <w:pPr>
              <w:spacing w:after="0" w:line="147"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Exhibit 4.2 to Campbell's Registration Statement on Form S-3 (SEC file number 333-249174) filed with the SEC on September 30, 2020.</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4(d)</w:t>
            </w:r>
          </w:p>
        </w:tc>
        <w:tc>
          <w:tcPr>
            <w:tcW w:w="10300" w:type="dxa"/>
            <w:vAlign w:val="bottom"/>
            <w:gridSpan w:val="28"/>
          </w:tcPr>
          <w:p>
            <w:pPr>
              <w:spacing w:after="0"/>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Indenture dated as of March 19, 2015, between Campbell and Wells Fargo Bank, National Association, as trustee, is incorporated by reference to</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7020" w:type="dxa"/>
            <w:vAlign w:val="bottom"/>
            <w:tcBorders>
              <w:top w:val="single" w:sz="8" w:color="0000FF"/>
              <w:bottom w:val="single" w:sz="8" w:color="0000FF"/>
            </w:tcBorders>
            <w:gridSpan w:val="11"/>
          </w:tcPr>
          <w:p>
            <w:pPr>
              <w:spacing w:after="0" w:line="147"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Exhibit 4.1 to Campbell's Form 8-K (SEC file number 1-3822) filed with the SEC on March 19, 2015.</w:t>
              </w:r>
            </w:hyperlink>
          </w:p>
        </w:tc>
        <w:tc>
          <w:tcPr>
            <w:tcW w:w="3160" w:type="dxa"/>
            <w:vAlign w:val="bottom"/>
            <w:tcBorders>
              <w:top w:val="single" w:sz="8" w:color="0000FF"/>
            </w:tcBorders>
            <w:gridSpan w:val="11"/>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4"/>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4(e)</w:t>
            </w:r>
          </w:p>
        </w:tc>
        <w:tc>
          <w:tcPr>
            <w:tcW w:w="10300" w:type="dxa"/>
            <w:vAlign w:val="bottom"/>
            <w:gridSpan w:val="28"/>
          </w:tcPr>
          <w:p>
            <w:pPr>
              <w:spacing w:after="0"/>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Form of 3.800% Notes due 2042 is incorporated by reference to Exhibit 4.1 to Campbell's Form 8-K (SEC file number 1-3822) filed with the SEC</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320" w:type="dxa"/>
            <w:vAlign w:val="bottom"/>
            <w:tcBorders>
              <w:top w:val="single" w:sz="8" w:color="0000FF"/>
              <w:bottom w:val="single" w:sz="8" w:color="0000FF"/>
            </w:tcBorders>
            <w:gridSpan w:val="2"/>
          </w:tcPr>
          <w:p>
            <w:pPr>
              <w:spacing w:after="0" w:line="147"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on August 2, 2012.</w:t>
              </w:r>
            </w:hyperlink>
          </w:p>
        </w:tc>
        <w:tc>
          <w:tcPr>
            <w:tcW w:w="890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4(f)</w:t>
            </w:r>
          </w:p>
        </w:tc>
        <w:tc>
          <w:tcPr>
            <w:tcW w:w="10300" w:type="dxa"/>
            <w:vAlign w:val="bottom"/>
            <w:gridSpan w:val="28"/>
          </w:tcPr>
          <w:p>
            <w:pPr>
              <w:spacing w:after="0"/>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Form of 3.300% Note due 2025 is incorporated by referenced to Exhibit 4.2 to Campbell's Form 8-K (SEC file number 1-3822) filed with the</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160" w:type="dxa"/>
            <w:vAlign w:val="bottom"/>
            <w:tcBorders>
              <w:top w:val="single" w:sz="8" w:color="0000FF"/>
            </w:tcBorders>
            <w:gridSpan w:val="21"/>
          </w:tcPr>
          <w:p>
            <w:pPr>
              <w:spacing w:after="0" w:line="147"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SEC on March 19, 2015.</w:t>
              </w:r>
            </w:hyperlink>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4(g)</w:t>
            </w:r>
          </w:p>
        </w:tc>
        <w:tc>
          <w:tcPr>
            <w:tcW w:w="10300" w:type="dxa"/>
            <w:vAlign w:val="bottom"/>
            <w:gridSpan w:val="28"/>
          </w:tcPr>
          <w:p>
            <w:pPr>
              <w:spacing w:after="0"/>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Form of 3.650% Note due 2023 is incorporated by reference to Exhibit 4.2.4 to Campbell's Form 8-K (SEC file number 1-3822) filed with the</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40" w:type="dxa"/>
            <w:vAlign w:val="bottom"/>
            <w:tcBorders>
              <w:top w:val="single" w:sz="8" w:color="0000FF"/>
            </w:tcBorders>
            <w:gridSpan w:val="25"/>
          </w:tcPr>
          <w:p>
            <w:pPr>
              <w:spacing w:after="0" w:line="147"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SEC on March 16, 2018.</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4(h)</w:t>
            </w:r>
          </w:p>
        </w:tc>
        <w:tc>
          <w:tcPr>
            <w:tcW w:w="10300" w:type="dxa"/>
            <w:vAlign w:val="bottom"/>
            <w:gridSpan w:val="28"/>
          </w:tcPr>
          <w:p>
            <w:pPr>
              <w:spacing w:after="0"/>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Form of 3.950% Note due 2025 is incorporated by reference to Exhibit 4.2.5 to Campbell's Form 8-K (SEC file number 1-3822) filed with the</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40" w:type="dxa"/>
            <w:vAlign w:val="bottom"/>
            <w:tcBorders>
              <w:top w:val="single" w:sz="8" w:color="0000FF"/>
            </w:tcBorders>
            <w:gridSpan w:val="25"/>
          </w:tcPr>
          <w:p>
            <w:pPr>
              <w:spacing w:after="0" w:line="147"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SEC on March 16, 2018.</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4(i)</w:t>
            </w:r>
          </w:p>
        </w:tc>
        <w:tc>
          <w:tcPr>
            <w:tcW w:w="10300" w:type="dxa"/>
            <w:vAlign w:val="bottom"/>
            <w:gridSpan w:val="28"/>
          </w:tcPr>
          <w:p>
            <w:pPr>
              <w:spacing w:after="0"/>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Form of 4.150% Note due 2028 is incorporated by reference to Exhibit 4.2.6 to Campbell's Form 8-K (SEC file number 1-3822) filed with the</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40" w:type="dxa"/>
            <w:vAlign w:val="bottom"/>
            <w:tcBorders>
              <w:top w:val="single" w:sz="8" w:color="0000FF"/>
            </w:tcBorders>
            <w:gridSpan w:val="25"/>
          </w:tcPr>
          <w:p>
            <w:pPr>
              <w:spacing w:after="0" w:line="147"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SEC on March 16, 2018.</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4(j)</w:t>
            </w:r>
          </w:p>
        </w:tc>
        <w:tc>
          <w:tcPr>
            <w:tcW w:w="10300" w:type="dxa"/>
            <w:vAlign w:val="bottom"/>
            <w:gridSpan w:val="28"/>
          </w:tcPr>
          <w:p>
            <w:pPr>
              <w:spacing w:after="0"/>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Form of 4.800% Note due 2048 is incorporated by reference to Exhibit 4.2.7 to Campbell's Form 8-K (SEC file number 1-3822) filed with the</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40" w:type="dxa"/>
            <w:vAlign w:val="bottom"/>
            <w:tcBorders>
              <w:top w:val="single" w:sz="8" w:color="0000FF"/>
            </w:tcBorders>
            <w:gridSpan w:val="25"/>
          </w:tcPr>
          <w:p>
            <w:pPr>
              <w:spacing w:after="0" w:line="147"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SEC on March 16, 2018.</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4(k)</w:t>
            </w:r>
          </w:p>
        </w:tc>
        <w:tc>
          <w:tcPr>
            <w:tcW w:w="10300" w:type="dxa"/>
            <w:vAlign w:val="bottom"/>
            <w:gridSpan w:val="28"/>
          </w:tcPr>
          <w:p>
            <w:pPr>
              <w:spacing w:after="0"/>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Form of 2.375% Note due 2030 incorporated by reference to Exhibit 4.2.1 to Campbell's Form 8-K (SEC file number 1-3822) filed with the SEC</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9960" w:type="dxa"/>
            <w:vAlign w:val="bottom"/>
            <w:tcBorders>
              <w:top w:val="single" w:sz="8" w:color="0000FF"/>
            </w:tcBorders>
            <w:gridSpan w:val="15"/>
          </w:tcPr>
          <w:p>
            <w:pPr>
              <w:spacing w:after="0" w:line="147"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on April 24, 2020.</w:t>
              </w:r>
            </w:hyperlink>
          </w:p>
        </w:tc>
        <w:tc>
          <w:tcPr>
            <w:tcW w:w="10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4(l)</w:t>
            </w:r>
          </w:p>
        </w:tc>
        <w:tc>
          <w:tcPr>
            <w:tcW w:w="10300" w:type="dxa"/>
            <w:vAlign w:val="bottom"/>
            <w:gridSpan w:val="28"/>
          </w:tcPr>
          <w:p>
            <w:pPr>
              <w:spacing w:after="0"/>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Form of 3.125% Note due 2050 incorporated by reference to Exhibit 4.2.2 to Campbell's Form 8-K (SEC file number 1-3822) filed with the SEC</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9960" w:type="dxa"/>
            <w:vAlign w:val="bottom"/>
            <w:tcBorders>
              <w:top w:val="single" w:sz="8" w:color="0000FF"/>
            </w:tcBorders>
            <w:gridSpan w:val="15"/>
          </w:tcPr>
          <w:p>
            <w:pPr>
              <w:spacing w:after="0" w:line="147"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on April 24, 2020.</w:t>
              </w:r>
            </w:hyperlink>
          </w:p>
        </w:tc>
        <w:tc>
          <w:tcPr>
            <w:tcW w:w="10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4(m)</w:t>
            </w:r>
          </w:p>
        </w:tc>
        <w:tc>
          <w:tcPr>
            <w:tcW w:w="10300" w:type="dxa"/>
            <w:vAlign w:val="bottom"/>
            <w:gridSpan w:val="28"/>
          </w:tcPr>
          <w:p>
            <w:pPr>
              <w:spacing w:after="0"/>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Description of securities incorporated by reference to Exhibit 4(p) to Campbell's Form 10-K (SEC file number 1-3822) filed with the SEC on</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060" w:type="dxa"/>
            <w:vAlign w:val="bottom"/>
            <w:tcBorders>
              <w:top w:val="single" w:sz="8" w:color="0000FF"/>
            </w:tcBorders>
            <w:gridSpan w:val="16"/>
          </w:tcPr>
          <w:p>
            <w:pPr>
              <w:spacing w:after="0" w:line="147"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September 26, 2019.</w:t>
              </w:r>
            </w:hyperlink>
          </w:p>
        </w:tc>
        <w:tc>
          <w:tcPr>
            <w:tcW w:w="80" w:type="dxa"/>
            <w:vAlign w:val="bottom"/>
            <w:gridSpan w:val="4"/>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220" w:type="dxa"/>
            <w:vAlign w:val="bottom"/>
            <w:gridSpan w:val="10"/>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10(a)+</w:t>
            </w:r>
          </w:p>
        </w:tc>
        <w:tc>
          <w:tcPr>
            <w:tcW w:w="10300" w:type="dxa"/>
            <w:vAlign w:val="bottom"/>
            <w:gridSpan w:val="28"/>
          </w:tcPr>
          <w:p>
            <w:pPr>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Campbell Soup Company 2005 Long-Term Incentive Plan, as amended and restated on November 18, 2010, is incorporated by reference to</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6920" w:type="dxa"/>
            <w:vAlign w:val="bottom"/>
            <w:tcBorders>
              <w:top w:val="single" w:sz="8" w:color="0000FF"/>
              <w:bottom w:val="single" w:sz="8" w:color="0000FF"/>
            </w:tcBorders>
            <w:gridSpan w:val="10"/>
          </w:tcPr>
          <w:p>
            <w:pPr>
              <w:spacing w:after="0" w:line="147"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Campbell’s 2010 Proxy Statement (SEC file number 1-3822) filed with the SEC on October 7, 2010.</w:t>
              </w:r>
            </w:hyperlink>
          </w:p>
        </w:tc>
        <w:tc>
          <w:tcPr>
            <w:tcW w:w="3220" w:type="dxa"/>
            <w:vAlign w:val="bottom"/>
            <w:tcBorders>
              <w:top w:val="single" w:sz="8" w:color="0000FF"/>
            </w:tcBorders>
            <w:gridSpan w:val="10"/>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10(b)+</w:t>
            </w:r>
          </w:p>
        </w:tc>
        <w:tc>
          <w:tcPr>
            <w:tcW w:w="10300" w:type="dxa"/>
            <w:vAlign w:val="bottom"/>
            <w:gridSpan w:val="28"/>
          </w:tcPr>
          <w:p>
            <w:pPr>
              <w:spacing w:after="0"/>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Campbell Soup Company 2015 Long-Term Incentive Plan is incorporated by reference to Campbell’s 2015 Proxy Statement (SEC file number 1-</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40" w:type="dxa"/>
            <w:vAlign w:val="bottom"/>
            <w:tcBorders>
              <w:top w:val="single" w:sz="8" w:color="0000FF"/>
            </w:tcBorders>
            <w:gridSpan w:val="25"/>
          </w:tcPr>
          <w:p>
            <w:pPr>
              <w:spacing w:after="0" w:line="147"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3822) filed with the SEC on October 9, 2015.</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20" w:type="dxa"/>
            <w:vAlign w:val="bottom"/>
            <w:gridSpan w:val="5"/>
            <w:shd w:val="clear" w:color="auto" w:fill="0000FF"/>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5020" w:type="dxa"/>
            <w:vAlign w:val="bottom"/>
            <w:gridSpan w:val="1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10(c)+</w:t>
            </w:r>
          </w:p>
        </w:tc>
        <w:tc>
          <w:tcPr>
            <w:tcW w:w="10300" w:type="dxa"/>
            <w:vAlign w:val="bottom"/>
            <w:gridSpan w:val="28"/>
          </w:tcPr>
          <w:p>
            <w:pPr>
              <w:spacing w:after="0"/>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Campbell Soup Company Annual Incentive Plan, as amended on November 19, 2014, is incorporated by reference to Campbell’s 2014 Proxy</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80" w:type="dxa"/>
            <w:vAlign w:val="bottom"/>
            <w:tcBorders>
              <w:top w:val="single" w:sz="8" w:color="0000FF"/>
            </w:tcBorders>
            <w:gridSpan w:val="27"/>
          </w:tcPr>
          <w:p>
            <w:pPr>
              <w:spacing w:after="0" w:line="147"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Statement (SEC file number 1-3822) filed with the SEC on October 1, 2014.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6"/>
        </w:trPr>
        <w:tc>
          <w:tcPr>
            <w:tcW w:w="1140" w:type="dxa"/>
            <w:vAlign w:val="bottom"/>
          </w:tcPr>
          <w:p>
            <w:pPr>
              <w:spacing w:after="0"/>
              <w:rPr>
                <w:sz w:val="24"/>
                <w:szCs w:val="24"/>
                <w:color w:val="auto"/>
              </w:rPr>
            </w:pPr>
          </w:p>
        </w:tc>
        <w:tc>
          <w:tcPr>
            <w:tcW w:w="5100" w:type="dxa"/>
            <w:vAlign w:val="bottom"/>
            <w:tcBorders>
              <w:top w:val="single" w:sz="8" w:color="0000FF"/>
            </w:tcBorders>
            <w:gridSpan w:val="7"/>
          </w:tcPr>
          <w:p>
            <w:pPr>
              <w:ind w:left="4400"/>
              <w:spacing w:after="0"/>
              <w:rPr>
                <w:sz w:val="20"/>
                <w:szCs w:val="20"/>
                <w:color w:val="auto"/>
              </w:rPr>
            </w:pPr>
            <w:r>
              <w:rPr>
                <w:rFonts w:ascii="Times New Roman" w:cs="Times New Roman" w:eastAsia="Times New Roman" w:hAnsi="Times New Roman"/>
                <w:sz w:val="17"/>
                <w:szCs w:val="17"/>
                <w:color w:val="auto"/>
              </w:rPr>
              <w:t>80</w:t>
            </w:r>
          </w:p>
        </w:tc>
        <w:tc>
          <w:tcPr>
            <w:tcW w:w="160" w:type="dxa"/>
            <w:vAlign w:val="bottom"/>
            <w:tcBorders>
              <w:top w:val="single" w:sz="8" w:color="0000FF"/>
            </w:tcBorders>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14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42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94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95"/>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10(d)+</w:t>
            </w:r>
          </w:p>
        </w:tc>
        <w:tc>
          <w:tcPr>
            <w:tcW w:w="10360" w:type="dxa"/>
            <w:vAlign w:val="bottom"/>
            <w:gridSpan w:val="36"/>
          </w:tcPr>
          <w:p>
            <w:pPr>
              <w:spacing w:after="0"/>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Campbell Soup Company Mid-Career Hire Pension Plan, as amended and restated effective as of January 1, 2009, is incorporated by reference to</w:t>
              </w:r>
            </w:hyperlink>
          </w:p>
        </w:tc>
      </w:tr>
      <w:tr>
        <w:trPr>
          <w:trHeight w:val="147"/>
        </w:trPr>
        <w:tc>
          <w:tcPr>
            <w:tcW w:w="1100" w:type="dxa"/>
            <w:vAlign w:val="bottom"/>
          </w:tcPr>
          <w:p>
            <w:pPr>
              <w:spacing w:after="0"/>
              <w:rPr>
                <w:sz w:val="12"/>
                <w:szCs w:val="12"/>
                <w:color w:val="auto"/>
              </w:rPr>
            </w:pPr>
          </w:p>
        </w:tc>
        <w:tc>
          <w:tcPr>
            <w:tcW w:w="7720" w:type="dxa"/>
            <w:vAlign w:val="bottom"/>
            <w:tcBorders>
              <w:top w:val="single" w:sz="8" w:color="0000FF"/>
              <w:bottom w:val="single" w:sz="8" w:color="0000FF"/>
            </w:tcBorders>
            <w:gridSpan w:val="15"/>
          </w:tcPr>
          <w:p>
            <w:pPr>
              <w:spacing w:after="0" w:line="147"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Exhibit 10(a) to Campbell’s Form 10-Q (SEC file number 1-3822) for the fiscal quarter ended February 1, 2009.</w:t>
              </w:r>
            </w:hyperlink>
          </w:p>
        </w:tc>
        <w:tc>
          <w:tcPr>
            <w:tcW w:w="238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02"/>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10(e)+</w:t>
            </w:r>
          </w:p>
        </w:tc>
        <w:tc>
          <w:tcPr>
            <w:tcW w:w="10360" w:type="dxa"/>
            <w:vAlign w:val="bottom"/>
            <w:gridSpan w:val="36"/>
          </w:tcPr>
          <w:p>
            <w:pPr>
              <w:spacing w:after="0"/>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First Amendment to the Campbell Soup Company Mid-Career Hire Pension Plan, effective as of December 31, 2010, is incorporated by reference</w:t>
              </w:r>
            </w:hyperlink>
          </w:p>
        </w:tc>
      </w:tr>
      <w:tr>
        <w:trPr>
          <w:trHeight w:val="147"/>
        </w:trPr>
        <w:tc>
          <w:tcPr>
            <w:tcW w:w="1100" w:type="dxa"/>
            <w:vAlign w:val="bottom"/>
          </w:tcPr>
          <w:p>
            <w:pPr>
              <w:spacing w:after="0"/>
              <w:rPr>
                <w:sz w:val="12"/>
                <w:szCs w:val="12"/>
                <w:color w:val="auto"/>
              </w:rPr>
            </w:pPr>
          </w:p>
        </w:tc>
        <w:tc>
          <w:tcPr>
            <w:tcW w:w="10200" w:type="dxa"/>
            <w:vAlign w:val="bottom"/>
            <w:tcBorders>
              <w:top w:val="single" w:sz="8" w:color="0000FF"/>
            </w:tcBorders>
            <w:gridSpan w:val="28"/>
          </w:tcPr>
          <w:p>
            <w:pPr>
              <w:spacing w:after="0" w:line="147"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to Exhibit 10(a) to Campbell’s Form 10-Q (SEC file number 1-3822) for the fiscal quarter ended January 30, 2011.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2"/>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10(f)+</w:t>
            </w:r>
          </w:p>
        </w:tc>
        <w:tc>
          <w:tcPr>
            <w:tcW w:w="10360" w:type="dxa"/>
            <w:vAlign w:val="bottom"/>
            <w:gridSpan w:val="36"/>
          </w:tcPr>
          <w:p>
            <w:pPr>
              <w:spacing w:after="0"/>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Deferred Compensation Plan, effective November 18, 1999, is incorporated herein by reference to Exhibit 10(e) to Campbell’s Form 10-K (SEC</w:t>
              </w:r>
            </w:hyperlink>
          </w:p>
        </w:tc>
      </w:tr>
      <w:tr>
        <w:trPr>
          <w:trHeight w:val="147"/>
        </w:trPr>
        <w:tc>
          <w:tcPr>
            <w:tcW w:w="1100" w:type="dxa"/>
            <w:vAlign w:val="bottom"/>
          </w:tcPr>
          <w:p>
            <w:pPr>
              <w:spacing w:after="0"/>
              <w:rPr>
                <w:sz w:val="12"/>
                <w:szCs w:val="12"/>
                <w:color w:val="auto"/>
              </w:rPr>
            </w:pPr>
          </w:p>
        </w:tc>
        <w:tc>
          <w:tcPr>
            <w:tcW w:w="4100" w:type="dxa"/>
            <w:vAlign w:val="bottom"/>
            <w:tcBorders>
              <w:top w:val="single" w:sz="8" w:color="0000FF"/>
              <w:bottom w:val="single" w:sz="8" w:color="0000FF"/>
            </w:tcBorders>
            <w:gridSpan w:val="6"/>
          </w:tcPr>
          <w:p>
            <w:pPr>
              <w:spacing w:after="0" w:line="147"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file number 1-3822) for the fiscal year ended July 30, 2000.</w:t>
              </w:r>
            </w:hyperlink>
          </w:p>
        </w:tc>
        <w:tc>
          <w:tcPr>
            <w:tcW w:w="6240" w:type="dxa"/>
            <w:vAlign w:val="bottom"/>
            <w:tcBorders>
              <w:top w:val="single" w:sz="8" w:color="0000FF"/>
            </w:tcBorders>
            <w:gridSpan w:val="29"/>
          </w:tcPr>
          <w:p>
            <w:pPr>
              <w:spacing w:after="0"/>
              <w:rPr>
                <w:sz w:val="12"/>
                <w:szCs w:val="12"/>
                <w:color w:val="auto"/>
              </w:rPr>
            </w:pPr>
          </w:p>
        </w:tc>
        <w:tc>
          <w:tcPr>
            <w:tcW w:w="20" w:type="dxa"/>
            <w:vAlign w:val="bottom"/>
          </w:tcPr>
          <w:p>
            <w:pPr>
              <w:spacing w:after="0"/>
              <w:rPr>
                <w:sz w:val="12"/>
                <w:szCs w:val="12"/>
                <w:color w:val="auto"/>
              </w:rPr>
            </w:pPr>
          </w:p>
        </w:tc>
      </w:tr>
      <w:tr>
        <w:trPr>
          <w:trHeight w:val="302"/>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10(g)+</w:t>
            </w:r>
          </w:p>
        </w:tc>
        <w:tc>
          <w:tcPr>
            <w:tcW w:w="10360" w:type="dxa"/>
            <w:vAlign w:val="bottom"/>
            <w:gridSpan w:val="36"/>
          </w:tcPr>
          <w:p>
            <w:pPr>
              <w:spacing w:after="0"/>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Campbell Soup Company Supplemental Retirement Plan (formerly known as Deferred Compensation Plan II), as amended and restated effective</w:t>
              </w:r>
            </w:hyperlink>
          </w:p>
        </w:tc>
      </w:tr>
      <w:tr>
        <w:trPr>
          <w:trHeight w:val="147"/>
        </w:trPr>
        <w:tc>
          <w:tcPr>
            <w:tcW w:w="1100" w:type="dxa"/>
            <w:vAlign w:val="bottom"/>
          </w:tcPr>
          <w:p>
            <w:pPr>
              <w:spacing w:after="0"/>
              <w:rPr>
                <w:sz w:val="12"/>
                <w:szCs w:val="12"/>
                <w:color w:val="auto"/>
              </w:rPr>
            </w:pPr>
          </w:p>
        </w:tc>
        <w:tc>
          <w:tcPr>
            <w:tcW w:w="10320" w:type="dxa"/>
            <w:vAlign w:val="bottom"/>
            <w:tcBorders>
              <w:top w:val="single" w:sz="8" w:color="0000FF"/>
            </w:tcBorders>
            <w:gridSpan w:val="34"/>
          </w:tcPr>
          <w:p>
            <w:pPr>
              <w:spacing w:after="0" w:line="147"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as of August 1, 2015, is incorporated herein by reference to Exhibit 4(c) to Campbell’s Form S-8 (SEC file number 333-216582) filed with the</w:t>
              </w:r>
            </w:hyperlink>
          </w:p>
        </w:tc>
        <w:tc>
          <w:tcPr>
            <w:tcW w:w="40" w:type="dxa"/>
            <w:vAlign w:val="bottom"/>
            <w:gridSpan w:val="2"/>
          </w:tcPr>
          <w:p>
            <w:pPr>
              <w:spacing w:after="0"/>
              <w:rPr>
                <w:sz w:val="12"/>
                <w:szCs w:val="12"/>
                <w:color w:val="auto"/>
              </w:rPr>
            </w:pPr>
          </w:p>
        </w:tc>
      </w:tr>
      <w:tr>
        <w:trPr>
          <w:trHeight w:val="147"/>
        </w:trPr>
        <w:tc>
          <w:tcPr>
            <w:tcW w:w="1100" w:type="dxa"/>
            <w:vAlign w:val="bottom"/>
          </w:tcPr>
          <w:p>
            <w:pPr>
              <w:spacing w:after="0"/>
              <w:rPr>
                <w:sz w:val="12"/>
                <w:szCs w:val="12"/>
                <w:color w:val="auto"/>
              </w:rPr>
            </w:pPr>
          </w:p>
        </w:tc>
        <w:tc>
          <w:tcPr>
            <w:tcW w:w="10220" w:type="dxa"/>
            <w:vAlign w:val="bottom"/>
            <w:tcBorders>
              <w:top w:val="single" w:sz="8" w:color="0000FF"/>
            </w:tcBorders>
            <w:gridSpan w:val="29"/>
          </w:tcPr>
          <w:p>
            <w:pPr>
              <w:spacing w:after="0" w:line="147"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SEC on March 9,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2"/>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10(h)+</w:t>
            </w:r>
          </w:p>
        </w:tc>
        <w:tc>
          <w:tcPr>
            <w:tcW w:w="10360" w:type="dxa"/>
            <w:vAlign w:val="bottom"/>
            <w:gridSpan w:val="36"/>
          </w:tcPr>
          <w:p>
            <w:pPr>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Form of Severance Protection Agreement is incorporated by reference to Exhibit 10(i) to Campbell's Form 10-K (SEC file number 1-3822) for the</w:t>
              </w:r>
            </w:hyperlink>
          </w:p>
        </w:tc>
      </w:tr>
      <w:tr>
        <w:trPr>
          <w:trHeight w:val="147"/>
        </w:trPr>
        <w:tc>
          <w:tcPr>
            <w:tcW w:w="1100" w:type="dxa"/>
            <w:vAlign w:val="bottom"/>
          </w:tcPr>
          <w:p>
            <w:pPr>
              <w:spacing w:after="0"/>
              <w:rPr>
                <w:sz w:val="12"/>
                <w:szCs w:val="12"/>
                <w:color w:val="auto"/>
              </w:rPr>
            </w:pPr>
          </w:p>
        </w:tc>
        <w:tc>
          <w:tcPr>
            <w:tcW w:w="2180" w:type="dxa"/>
            <w:vAlign w:val="bottom"/>
            <w:tcBorders>
              <w:top w:val="single" w:sz="8" w:color="0000FF"/>
              <w:bottom w:val="single" w:sz="8" w:color="0000FF"/>
            </w:tcBorders>
            <w:gridSpan w:val="2"/>
          </w:tcPr>
          <w:p>
            <w:pPr>
              <w:spacing w:after="0" w:line="147"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fiscal year ended July 30, 2017.</w:t>
              </w:r>
            </w:hyperlink>
          </w:p>
        </w:tc>
        <w:tc>
          <w:tcPr>
            <w:tcW w:w="8000" w:type="dxa"/>
            <w:vAlign w:val="bottom"/>
            <w:tcBorders>
              <w:top w:val="single" w:sz="8" w:color="0000FF"/>
            </w:tcBorders>
            <w:gridSpan w:val="2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302"/>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10(i)+</w:t>
            </w:r>
          </w:p>
        </w:tc>
        <w:tc>
          <w:tcPr>
            <w:tcW w:w="10360" w:type="dxa"/>
            <w:vAlign w:val="bottom"/>
            <w:gridSpan w:val="36"/>
          </w:tcPr>
          <w:p>
            <w:pPr>
              <w:spacing w:after="0"/>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Form of Amendment to the Severance Protection Agreement is incorporated by reference to Exhibit 10(j) to Campbell's Form 10-K (SEC file</w:t>
              </w:r>
            </w:hyperlink>
          </w:p>
        </w:tc>
      </w:tr>
      <w:tr>
        <w:trPr>
          <w:trHeight w:val="147"/>
        </w:trPr>
        <w:tc>
          <w:tcPr>
            <w:tcW w:w="1100" w:type="dxa"/>
            <w:vAlign w:val="bottom"/>
          </w:tcPr>
          <w:p>
            <w:pPr>
              <w:spacing w:after="0"/>
              <w:rPr>
                <w:sz w:val="12"/>
                <w:szCs w:val="12"/>
                <w:color w:val="auto"/>
              </w:rPr>
            </w:pPr>
          </w:p>
        </w:tc>
        <w:tc>
          <w:tcPr>
            <w:tcW w:w="3300" w:type="dxa"/>
            <w:vAlign w:val="bottom"/>
            <w:tcBorders>
              <w:top w:val="single" w:sz="8" w:color="0000FF"/>
              <w:bottom w:val="single" w:sz="8" w:color="0000FF"/>
            </w:tcBorders>
            <w:gridSpan w:val="4"/>
          </w:tcPr>
          <w:p>
            <w:pPr>
              <w:spacing w:after="0" w:line="147"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number) for the fiscal year ended July 30, 2017.</w:t>
              </w:r>
            </w:hyperlink>
          </w:p>
        </w:tc>
        <w:tc>
          <w:tcPr>
            <w:tcW w:w="6980" w:type="dxa"/>
            <w:vAlign w:val="bottom"/>
            <w:tcBorders>
              <w:top w:val="single" w:sz="8" w:color="0000FF"/>
            </w:tcBorders>
            <w:gridSpan w:val="28"/>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302"/>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10(j)+</w:t>
            </w:r>
          </w:p>
        </w:tc>
        <w:tc>
          <w:tcPr>
            <w:tcW w:w="10360" w:type="dxa"/>
            <w:vAlign w:val="bottom"/>
            <w:gridSpan w:val="36"/>
          </w:tcPr>
          <w:p>
            <w:pPr>
              <w:spacing w:after="0"/>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Form of U.S. Severance Protection Agreement is incorporated by reference to Exhibit 10(m) to Campbell’s Form 10-K (SEC file number 1-3822)</w:t>
              </w:r>
            </w:hyperlink>
          </w:p>
        </w:tc>
      </w:tr>
      <w:tr>
        <w:trPr>
          <w:trHeight w:val="147"/>
        </w:trPr>
        <w:tc>
          <w:tcPr>
            <w:tcW w:w="1100" w:type="dxa"/>
            <w:vAlign w:val="bottom"/>
          </w:tcPr>
          <w:p>
            <w:pPr>
              <w:spacing w:after="0"/>
              <w:rPr>
                <w:sz w:val="12"/>
                <w:szCs w:val="12"/>
                <w:color w:val="auto"/>
              </w:rPr>
            </w:pPr>
          </w:p>
        </w:tc>
        <w:tc>
          <w:tcPr>
            <w:tcW w:w="10300" w:type="dxa"/>
            <w:vAlign w:val="bottom"/>
            <w:tcBorders>
              <w:top w:val="single" w:sz="8" w:color="0000FF"/>
            </w:tcBorders>
            <w:gridSpan w:val="33"/>
          </w:tcPr>
          <w:p>
            <w:pPr>
              <w:spacing w:after="0" w:line="147"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for the fiscal year ended July 31, 2011.</w:t>
              </w:r>
            </w:hyperlink>
          </w:p>
        </w:tc>
        <w:tc>
          <w:tcPr>
            <w:tcW w:w="60" w:type="dxa"/>
            <w:vAlign w:val="bottom"/>
            <w:gridSpan w:val="3"/>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02"/>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10(k)+</w:t>
            </w:r>
          </w:p>
        </w:tc>
        <w:tc>
          <w:tcPr>
            <w:tcW w:w="10360" w:type="dxa"/>
            <w:vAlign w:val="bottom"/>
            <w:gridSpan w:val="36"/>
          </w:tcPr>
          <w:p>
            <w:pPr>
              <w:spacing w:after="0"/>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Form of Amendment to U.S. Severance Protection Agreement is incorporated by reference to Exhibit 10(o) to Campbell's Form 10-K (SEC file</w:t>
              </w:r>
            </w:hyperlink>
          </w:p>
        </w:tc>
      </w:tr>
      <w:tr>
        <w:trPr>
          <w:trHeight w:val="147"/>
        </w:trPr>
        <w:tc>
          <w:tcPr>
            <w:tcW w:w="1100" w:type="dxa"/>
            <w:vAlign w:val="bottom"/>
          </w:tcPr>
          <w:p>
            <w:pPr>
              <w:spacing w:after="0"/>
              <w:rPr>
                <w:sz w:val="12"/>
                <w:szCs w:val="12"/>
                <w:color w:val="auto"/>
              </w:rPr>
            </w:pPr>
          </w:p>
        </w:tc>
        <w:tc>
          <w:tcPr>
            <w:tcW w:w="10140" w:type="dxa"/>
            <w:vAlign w:val="bottom"/>
            <w:tcBorders>
              <w:top w:val="single" w:sz="8" w:color="0000FF"/>
            </w:tcBorders>
            <w:gridSpan w:val="25"/>
          </w:tcPr>
          <w:p>
            <w:pPr>
              <w:spacing w:after="0" w:line="147"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number 1-3822) for the fiscal year ended July 31, 2016.</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3820" w:type="dxa"/>
            <w:vAlign w:val="bottom"/>
            <w:gridSpan w:val="5"/>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02"/>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10(l)+</w:t>
            </w:r>
          </w:p>
        </w:tc>
        <w:tc>
          <w:tcPr>
            <w:tcW w:w="10360" w:type="dxa"/>
            <w:vAlign w:val="bottom"/>
            <w:gridSpan w:val="36"/>
          </w:tcPr>
          <w:p>
            <w:pPr>
              <w:spacing w:after="0"/>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Campbell Soup Company Supplemental Employees’ Retirement Plan, as amended and restated effective January 1, 2009, is incorporated by</w:t>
              </w:r>
            </w:hyperlink>
          </w:p>
        </w:tc>
      </w:tr>
      <w:tr>
        <w:trPr>
          <w:trHeight w:val="147"/>
        </w:trPr>
        <w:tc>
          <w:tcPr>
            <w:tcW w:w="1100" w:type="dxa"/>
            <w:vAlign w:val="bottom"/>
          </w:tcPr>
          <w:p>
            <w:pPr>
              <w:spacing w:after="0"/>
              <w:rPr>
                <w:sz w:val="12"/>
                <w:szCs w:val="12"/>
                <w:color w:val="auto"/>
              </w:rPr>
            </w:pPr>
          </w:p>
        </w:tc>
        <w:tc>
          <w:tcPr>
            <w:tcW w:w="8580" w:type="dxa"/>
            <w:vAlign w:val="bottom"/>
            <w:tcBorders>
              <w:top w:val="single" w:sz="8" w:color="0000FF"/>
              <w:bottom w:val="single" w:sz="8" w:color="0000FF"/>
            </w:tcBorders>
            <w:gridSpan w:val="17"/>
          </w:tcPr>
          <w:p>
            <w:pPr>
              <w:spacing w:after="0" w:line="147"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reference to Exhibit 10(c) to Campbell’s Form 10-Q (SEC file number 1-3822) for the fiscal quarter ended February 1, 2009.</w:t>
              </w:r>
            </w:hyperlink>
          </w:p>
        </w:tc>
        <w:tc>
          <w:tcPr>
            <w:tcW w:w="166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302"/>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10(m)+</w:t>
            </w:r>
          </w:p>
        </w:tc>
        <w:tc>
          <w:tcPr>
            <w:tcW w:w="10360" w:type="dxa"/>
            <w:vAlign w:val="bottom"/>
            <w:gridSpan w:val="36"/>
          </w:tcPr>
          <w:p>
            <w:pPr>
              <w:spacing w:after="0"/>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First Amendment to the Campbell Soup Company Supplemental Employees’ Retirement Plan, effective as of December 31, 2010, is incorporated</w:t>
              </w:r>
            </w:hyperlink>
          </w:p>
        </w:tc>
      </w:tr>
      <w:tr>
        <w:trPr>
          <w:trHeight w:val="147"/>
        </w:trPr>
        <w:tc>
          <w:tcPr>
            <w:tcW w:w="1100" w:type="dxa"/>
            <w:vAlign w:val="bottom"/>
          </w:tcPr>
          <w:p>
            <w:pPr>
              <w:spacing w:after="0"/>
              <w:rPr>
                <w:sz w:val="12"/>
                <w:szCs w:val="12"/>
                <w:color w:val="auto"/>
              </w:rPr>
            </w:pPr>
          </w:p>
        </w:tc>
        <w:tc>
          <w:tcPr>
            <w:tcW w:w="10080" w:type="dxa"/>
            <w:vAlign w:val="bottom"/>
            <w:tcBorders>
              <w:top w:val="single" w:sz="8" w:color="0000FF"/>
            </w:tcBorders>
            <w:gridSpan w:val="22"/>
          </w:tcPr>
          <w:p>
            <w:pPr>
              <w:spacing w:after="0" w:line="147"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by reference to Exhibit 10(c) to Campbell’s Form 10-Q (SEC file number 1-3822) for the fiscal quarter ended January 30, 2011.</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532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63"/>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10(n)+</w:t>
            </w:r>
          </w:p>
        </w:tc>
        <w:tc>
          <w:tcPr>
            <w:tcW w:w="10360" w:type="dxa"/>
            <w:vAlign w:val="bottom"/>
            <w:gridSpan w:val="36"/>
          </w:tcPr>
          <w:p>
            <w:pPr>
              <w:spacing w:after="0"/>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Form of 2005 Long-Term Incentive Plan Nonqualified Stock Option Agreement is incorporated by reference to Exhibit 10 to Campbell's Form</w:t>
              </w:r>
            </w:hyperlink>
          </w:p>
        </w:tc>
      </w:tr>
      <w:tr>
        <w:trPr>
          <w:trHeight w:val="147"/>
        </w:trPr>
        <w:tc>
          <w:tcPr>
            <w:tcW w:w="1100" w:type="dxa"/>
            <w:vAlign w:val="bottom"/>
          </w:tcPr>
          <w:p>
            <w:pPr>
              <w:spacing w:after="0"/>
              <w:rPr>
                <w:sz w:val="12"/>
                <w:szCs w:val="12"/>
                <w:color w:val="auto"/>
              </w:rPr>
            </w:pPr>
          </w:p>
        </w:tc>
        <w:tc>
          <w:tcPr>
            <w:tcW w:w="5460" w:type="dxa"/>
            <w:vAlign w:val="bottom"/>
            <w:tcBorders>
              <w:top w:val="single" w:sz="8" w:color="0000FF"/>
              <w:bottom w:val="single" w:sz="8" w:color="0000FF"/>
            </w:tcBorders>
            <w:gridSpan w:val="10"/>
          </w:tcPr>
          <w:p>
            <w:pPr>
              <w:spacing w:after="0" w:line="147"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10-Q (SEC file number 1-3822) for the fiscal quarter ended November 1, 2015.</w:t>
              </w:r>
            </w:hyperlink>
          </w:p>
        </w:tc>
        <w:tc>
          <w:tcPr>
            <w:tcW w:w="4600" w:type="dxa"/>
            <w:vAlign w:val="bottom"/>
            <w:tcBorders>
              <w:top w:val="single" w:sz="8" w:color="0000FF"/>
            </w:tcBorders>
            <w:gridSpan w:val="11"/>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315"/>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10(o)+</w:t>
            </w:r>
          </w:p>
        </w:tc>
        <w:tc>
          <w:tcPr>
            <w:tcW w:w="10360" w:type="dxa"/>
            <w:vAlign w:val="bottom"/>
            <w:gridSpan w:val="36"/>
          </w:tcPr>
          <w:p>
            <w:pPr>
              <w:spacing w:after="0"/>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Form of 2015 Long-Term Incentive Plan Nonqualified Stock Option Agreement is incorporated by reference to Exhibit 10(dd) to Campbell's</w:t>
              </w:r>
            </w:hyperlink>
          </w:p>
        </w:tc>
      </w:tr>
      <w:tr>
        <w:trPr>
          <w:trHeight w:val="147"/>
        </w:trPr>
        <w:tc>
          <w:tcPr>
            <w:tcW w:w="1100" w:type="dxa"/>
            <w:vAlign w:val="bottom"/>
          </w:tcPr>
          <w:p>
            <w:pPr>
              <w:spacing w:after="0"/>
              <w:rPr>
                <w:sz w:val="12"/>
                <w:szCs w:val="12"/>
                <w:color w:val="auto"/>
              </w:rPr>
            </w:pPr>
          </w:p>
        </w:tc>
        <w:tc>
          <w:tcPr>
            <w:tcW w:w="10060" w:type="dxa"/>
            <w:vAlign w:val="bottom"/>
            <w:tcBorders>
              <w:top w:val="single" w:sz="8" w:color="0000FF"/>
            </w:tcBorders>
            <w:gridSpan w:val="21"/>
          </w:tcPr>
          <w:p>
            <w:pPr>
              <w:spacing w:after="0" w:line="147"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Form 10-K (SEC file number 1-3822) for the fiscal year ended July 31, 2016.</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5320" w:type="dxa"/>
            <w:vAlign w:val="bottom"/>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15"/>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10(p)+</w:t>
            </w:r>
          </w:p>
        </w:tc>
        <w:tc>
          <w:tcPr>
            <w:tcW w:w="10360" w:type="dxa"/>
            <w:vAlign w:val="bottom"/>
            <w:gridSpan w:val="36"/>
          </w:tcPr>
          <w:p>
            <w:pPr>
              <w:spacing w:after="0"/>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Form of 2015 Long-Term Incentive Plan Performance Stock Unit Agreement (Earnings Per Share) is incorporated by reference to Exhibit 10(b) to</w:t>
              </w:r>
            </w:hyperlink>
          </w:p>
        </w:tc>
      </w:tr>
      <w:tr>
        <w:trPr>
          <w:trHeight w:val="147"/>
        </w:trPr>
        <w:tc>
          <w:tcPr>
            <w:tcW w:w="1100" w:type="dxa"/>
            <w:vAlign w:val="bottom"/>
          </w:tcPr>
          <w:p>
            <w:pPr>
              <w:spacing w:after="0"/>
              <w:rPr>
                <w:sz w:val="12"/>
                <w:szCs w:val="12"/>
                <w:color w:val="auto"/>
              </w:rPr>
            </w:pPr>
          </w:p>
        </w:tc>
        <w:tc>
          <w:tcPr>
            <w:tcW w:w="6600" w:type="dxa"/>
            <w:vAlign w:val="bottom"/>
            <w:tcBorders>
              <w:top w:val="single" w:sz="8" w:color="0000FF"/>
              <w:bottom w:val="single" w:sz="8" w:color="0000FF"/>
            </w:tcBorders>
            <w:gridSpan w:val="13"/>
          </w:tcPr>
          <w:p>
            <w:pPr>
              <w:spacing w:after="0" w:line="147"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Campbell's Form 10-Q (SEC file number 1-3822) for the fiscal quarter ended October 30, 2016.</w:t>
              </w:r>
            </w:hyperlink>
          </w:p>
        </w:tc>
        <w:tc>
          <w:tcPr>
            <w:tcW w:w="3560" w:type="dxa"/>
            <w:vAlign w:val="bottom"/>
            <w:tcBorders>
              <w:top w:val="single" w:sz="8" w:color="0000FF"/>
            </w:tcBorders>
            <w:gridSpan w:val="13"/>
          </w:tcPr>
          <w:p>
            <w:pPr>
              <w:spacing w:after="0"/>
              <w:rPr>
                <w:sz w:val="12"/>
                <w:szCs w:val="12"/>
                <w:color w:val="auto"/>
              </w:rPr>
            </w:pPr>
          </w:p>
        </w:tc>
        <w:tc>
          <w:tcPr>
            <w:tcW w:w="100" w:type="dxa"/>
            <w:vAlign w:val="bottom"/>
            <w:gridSpan w:val="5"/>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315"/>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10(q)+</w:t>
            </w:r>
          </w:p>
        </w:tc>
        <w:tc>
          <w:tcPr>
            <w:tcW w:w="10360" w:type="dxa"/>
            <w:vAlign w:val="bottom"/>
            <w:gridSpan w:val="36"/>
          </w:tcPr>
          <w:p>
            <w:pPr>
              <w:spacing w:after="0"/>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Form of 2015 Long-Term Incentive Plan Performance Stock Unit Agreement (Total Shareholder Return) is incorporated by reference to Exhibit</w:t>
              </w:r>
            </w:hyperlink>
          </w:p>
        </w:tc>
      </w:tr>
      <w:tr>
        <w:trPr>
          <w:trHeight w:val="147"/>
        </w:trPr>
        <w:tc>
          <w:tcPr>
            <w:tcW w:w="1100" w:type="dxa"/>
            <w:vAlign w:val="bottom"/>
          </w:tcPr>
          <w:p>
            <w:pPr>
              <w:spacing w:after="0"/>
              <w:rPr>
                <w:sz w:val="12"/>
                <w:szCs w:val="12"/>
                <w:color w:val="auto"/>
              </w:rPr>
            </w:pPr>
          </w:p>
        </w:tc>
        <w:tc>
          <w:tcPr>
            <w:tcW w:w="10260" w:type="dxa"/>
            <w:vAlign w:val="bottom"/>
            <w:tcBorders>
              <w:top w:val="single" w:sz="8" w:color="0000FF"/>
            </w:tcBorders>
            <w:gridSpan w:val="31"/>
          </w:tcPr>
          <w:p>
            <w:pPr>
              <w:spacing w:after="0" w:line="147"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10(ff) to Campbell’s Form 10-K (SEC file number 1-3822) for the fiscal year ended July 31, 2016.</w:t>
              </w:r>
            </w:hyperlink>
          </w:p>
        </w:tc>
        <w:tc>
          <w:tcPr>
            <w:tcW w:w="100" w:type="dxa"/>
            <w:vAlign w:val="bottom"/>
            <w:gridSpan w:val="5"/>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5400" w:type="dxa"/>
            <w:vAlign w:val="bottom"/>
            <w:gridSpan w:val="8"/>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315"/>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10(r)+</w:t>
            </w:r>
          </w:p>
        </w:tc>
        <w:tc>
          <w:tcPr>
            <w:tcW w:w="10360" w:type="dxa"/>
            <w:vAlign w:val="bottom"/>
            <w:gridSpan w:val="36"/>
          </w:tcPr>
          <w:p>
            <w:pPr>
              <w:spacing w:after="0"/>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Form of 2015 Long-Term Incentive Plan Time-Lapse Restricted Stock Unit Agreement is incorporated by reference to Exhibit 10(c) to Campbell's</w:t>
              </w:r>
            </w:hyperlink>
          </w:p>
        </w:tc>
      </w:tr>
      <w:tr>
        <w:trPr>
          <w:trHeight w:val="147"/>
        </w:trPr>
        <w:tc>
          <w:tcPr>
            <w:tcW w:w="1100" w:type="dxa"/>
            <w:vAlign w:val="bottom"/>
          </w:tcPr>
          <w:p>
            <w:pPr>
              <w:spacing w:after="0"/>
              <w:rPr>
                <w:sz w:val="12"/>
                <w:szCs w:val="12"/>
                <w:color w:val="auto"/>
              </w:rPr>
            </w:pPr>
          </w:p>
        </w:tc>
        <w:tc>
          <w:tcPr>
            <w:tcW w:w="5800" w:type="dxa"/>
            <w:vAlign w:val="bottom"/>
            <w:tcBorders>
              <w:top w:val="single" w:sz="8" w:color="0000FF"/>
              <w:bottom w:val="single" w:sz="8" w:color="0000FF"/>
            </w:tcBorders>
            <w:gridSpan w:val="12"/>
          </w:tcPr>
          <w:p>
            <w:pPr>
              <w:spacing w:after="0" w:line="147"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Form 10-Q (SEC file number 1-3822) for the fiscal quarter ended October 30, 2016.</w:t>
              </w:r>
            </w:hyperlink>
          </w:p>
        </w:tc>
        <w:tc>
          <w:tcPr>
            <w:tcW w:w="4320" w:type="dxa"/>
            <w:vAlign w:val="bottom"/>
            <w:tcBorders>
              <w:top w:val="single" w:sz="8" w:color="0000FF"/>
            </w:tcBorders>
            <w:gridSpan w:val="12"/>
          </w:tcPr>
          <w:p>
            <w:pPr>
              <w:spacing w:after="0"/>
              <w:rPr>
                <w:sz w:val="12"/>
                <w:szCs w:val="12"/>
                <w:color w:val="auto"/>
              </w:rPr>
            </w:pPr>
          </w:p>
        </w:tc>
        <w:tc>
          <w:tcPr>
            <w:tcW w:w="240" w:type="dxa"/>
            <w:vAlign w:val="bottom"/>
            <w:gridSpan w:val="12"/>
          </w:tcPr>
          <w:p>
            <w:pPr>
              <w:spacing w:after="0"/>
              <w:rPr>
                <w:sz w:val="12"/>
                <w:szCs w:val="12"/>
                <w:color w:val="auto"/>
              </w:rPr>
            </w:pPr>
          </w:p>
        </w:tc>
      </w:tr>
      <w:tr>
        <w:trPr>
          <w:trHeight w:val="302"/>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10(s)+</w:t>
            </w:r>
          </w:p>
        </w:tc>
        <w:tc>
          <w:tcPr>
            <w:tcW w:w="10360" w:type="dxa"/>
            <w:vAlign w:val="bottom"/>
            <w:gridSpan w:val="36"/>
          </w:tcPr>
          <w:p>
            <w:pPr>
              <w:spacing w:after="0"/>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Form of 2015 Long-Term Incentive Plan Time-Lapse Restricted Stock Unit Agreement incorporated by reference to Exhibit 10(s) to Campbell's</w:t>
              </w:r>
            </w:hyperlink>
          </w:p>
        </w:tc>
      </w:tr>
      <w:tr>
        <w:trPr>
          <w:trHeight w:val="147"/>
        </w:trPr>
        <w:tc>
          <w:tcPr>
            <w:tcW w:w="1100" w:type="dxa"/>
            <w:vAlign w:val="bottom"/>
          </w:tcPr>
          <w:p>
            <w:pPr>
              <w:spacing w:after="0"/>
              <w:rPr>
                <w:sz w:val="12"/>
                <w:szCs w:val="12"/>
                <w:color w:val="auto"/>
              </w:rPr>
            </w:pPr>
          </w:p>
        </w:tc>
        <w:tc>
          <w:tcPr>
            <w:tcW w:w="10140" w:type="dxa"/>
            <w:vAlign w:val="bottom"/>
            <w:tcBorders>
              <w:top w:val="single" w:sz="8" w:color="0000FF"/>
            </w:tcBorders>
            <w:gridSpan w:val="25"/>
          </w:tcPr>
          <w:p>
            <w:pPr>
              <w:spacing w:after="0" w:line="147"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Form 10-K(SEC file number 1-3822) for the fiscal year ended August 1, 2021.</w:t>
              </w:r>
            </w:hyperlink>
          </w:p>
        </w:tc>
        <w:tc>
          <w:tcPr>
            <w:tcW w:w="220" w:type="dxa"/>
            <w:vAlign w:val="bottom"/>
            <w:gridSpan w:val="11"/>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5400" w:type="dxa"/>
            <w:vAlign w:val="bottom"/>
            <w:gridSpan w:val="8"/>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98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16"/>
          </w:tcPr>
          <w:p>
            <w:pPr>
              <w:spacing w:after="0" w:line="20" w:lineRule="exact"/>
              <w:rPr>
                <w:sz w:val="1"/>
                <w:szCs w:val="1"/>
                <w:color w:val="auto"/>
              </w:rPr>
            </w:pPr>
          </w:p>
        </w:tc>
      </w:tr>
      <w:tr>
        <w:trPr>
          <w:trHeight w:val="302"/>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10(t)+</w:t>
            </w:r>
          </w:p>
        </w:tc>
        <w:tc>
          <w:tcPr>
            <w:tcW w:w="10360" w:type="dxa"/>
            <w:vAlign w:val="bottom"/>
            <w:gridSpan w:val="36"/>
          </w:tcPr>
          <w:p>
            <w:pPr>
              <w:spacing w:after="0"/>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Form of 2015 Long-Term Incentive Performance Restricted Stock Unit Agreement is incorporated by reference to Exhibit 10(t) to Campbell's</w:t>
              </w:r>
            </w:hyperlink>
          </w:p>
        </w:tc>
      </w:tr>
      <w:tr>
        <w:trPr>
          <w:trHeight w:val="147"/>
        </w:trPr>
        <w:tc>
          <w:tcPr>
            <w:tcW w:w="1100" w:type="dxa"/>
            <w:vAlign w:val="bottom"/>
          </w:tcPr>
          <w:p>
            <w:pPr>
              <w:spacing w:after="0"/>
              <w:rPr>
                <w:sz w:val="12"/>
                <w:szCs w:val="12"/>
                <w:color w:val="auto"/>
              </w:rPr>
            </w:pPr>
          </w:p>
        </w:tc>
        <w:tc>
          <w:tcPr>
            <w:tcW w:w="10100" w:type="dxa"/>
            <w:vAlign w:val="bottom"/>
            <w:tcBorders>
              <w:top w:val="single" w:sz="8" w:color="0000FF"/>
            </w:tcBorders>
            <w:gridSpan w:val="23"/>
          </w:tcPr>
          <w:p>
            <w:pPr>
              <w:spacing w:after="0" w:line="147"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Form 10-K (SEC file number 1-3822) for the fiscal year ended August 1, 2021.</w:t>
              </w:r>
            </w:hyperlink>
          </w:p>
        </w:tc>
        <w:tc>
          <w:tcPr>
            <w:tcW w:w="260" w:type="dxa"/>
            <w:vAlign w:val="bottom"/>
            <w:gridSpan w:val="13"/>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5440" w:type="dxa"/>
            <w:vAlign w:val="bottom"/>
            <w:gridSpan w:val="9"/>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98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16"/>
          </w:tcPr>
          <w:p>
            <w:pPr>
              <w:spacing w:after="0" w:line="20" w:lineRule="exact"/>
              <w:rPr>
                <w:sz w:val="1"/>
                <w:szCs w:val="1"/>
                <w:color w:val="auto"/>
              </w:rPr>
            </w:pPr>
          </w:p>
        </w:tc>
      </w:tr>
      <w:tr>
        <w:trPr>
          <w:trHeight w:val="302"/>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10(u)</w:t>
            </w:r>
          </w:p>
        </w:tc>
        <w:tc>
          <w:tcPr>
            <w:tcW w:w="9760" w:type="dxa"/>
            <w:vAlign w:val="bottom"/>
            <w:tcBorders>
              <w:bottom w:val="single" w:sz="8" w:color="0000FF"/>
            </w:tcBorders>
            <w:gridSpan w:val="19"/>
          </w:tcPr>
          <w:p>
            <w:pPr>
              <w:spacing w:after="0"/>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Five-Year Credit Agreement, dated September 27, 2021, by and among Campbell Soup Company, the Eligible Subsidiaries party thereto from</w:t>
              </w:r>
            </w:hyperlink>
          </w:p>
        </w:tc>
        <w:tc>
          <w:tcPr>
            <w:tcW w:w="600" w:type="dxa"/>
            <w:vAlign w:val="bottom"/>
            <w:gridSpan w:val="17"/>
          </w:tcPr>
          <w:p>
            <w:pPr>
              <w:spacing w:after="0"/>
              <w:rPr>
                <w:sz w:val="24"/>
                <w:szCs w:val="24"/>
                <w:color w:val="auto"/>
              </w:rPr>
            </w:pPr>
          </w:p>
        </w:tc>
      </w:tr>
      <w:tr>
        <w:trPr>
          <w:trHeight w:val="147"/>
        </w:trPr>
        <w:tc>
          <w:tcPr>
            <w:tcW w:w="1100" w:type="dxa"/>
            <w:vAlign w:val="bottom"/>
          </w:tcPr>
          <w:p>
            <w:pPr>
              <w:spacing w:after="0"/>
              <w:rPr>
                <w:sz w:val="12"/>
                <w:szCs w:val="12"/>
                <w:color w:val="auto"/>
              </w:rPr>
            </w:pPr>
          </w:p>
        </w:tc>
        <w:tc>
          <w:tcPr>
            <w:tcW w:w="10360" w:type="dxa"/>
            <w:vAlign w:val="bottom"/>
            <w:gridSpan w:val="36"/>
          </w:tcPr>
          <w:p>
            <w:pPr>
              <w:spacing w:after="0" w:line="147"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time to time, JPMorgan Chase Bank, N.A., as administrative agent, and the other lenders named therein, incorporated by reference to Campbell's</w:t>
              </w:r>
            </w:hyperlink>
          </w:p>
        </w:tc>
      </w:tr>
      <w:tr>
        <w:trPr>
          <w:trHeight w:val="147"/>
        </w:trPr>
        <w:tc>
          <w:tcPr>
            <w:tcW w:w="1100" w:type="dxa"/>
            <w:vAlign w:val="bottom"/>
          </w:tcPr>
          <w:p>
            <w:pPr>
              <w:spacing w:after="0"/>
              <w:rPr>
                <w:sz w:val="12"/>
                <w:szCs w:val="12"/>
                <w:color w:val="auto"/>
              </w:rPr>
            </w:pPr>
          </w:p>
        </w:tc>
        <w:tc>
          <w:tcPr>
            <w:tcW w:w="9940" w:type="dxa"/>
            <w:vAlign w:val="bottom"/>
            <w:tcBorders>
              <w:top w:val="single" w:sz="8" w:color="0000FF"/>
            </w:tcBorders>
            <w:gridSpan w:val="20"/>
          </w:tcPr>
          <w:p>
            <w:pPr>
              <w:spacing w:after="0" w:line="147"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Form 10-Q (SEC file number 1-3822) for the fiscal quarter ended October 31, 2021.</w:t>
              </w:r>
            </w:hyperlink>
          </w:p>
        </w:tc>
        <w:tc>
          <w:tcPr>
            <w:tcW w:w="420" w:type="dxa"/>
            <w:vAlign w:val="bottom"/>
            <w:gridSpan w:val="16"/>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5780" w:type="dxa"/>
            <w:vAlign w:val="bottom"/>
            <w:gridSpan w:val="11"/>
            <w:shd w:val="clear" w:color="auto" w:fill="0000FF"/>
          </w:tcPr>
          <w:p>
            <w:pPr>
              <w:spacing w:after="0" w:line="20" w:lineRule="exact"/>
              <w:rPr>
                <w:sz w:val="1"/>
                <w:szCs w:val="1"/>
                <w:color w:val="auto"/>
              </w:rPr>
            </w:pPr>
          </w:p>
        </w:tc>
        <w:tc>
          <w:tcPr>
            <w:tcW w:w="4580" w:type="dxa"/>
            <w:vAlign w:val="bottom"/>
            <w:gridSpan w:val="25"/>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10(v)</w:t>
            </w:r>
          </w:p>
        </w:tc>
        <w:tc>
          <w:tcPr>
            <w:tcW w:w="10360" w:type="dxa"/>
            <w:vAlign w:val="bottom"/>
            <w:gridSpan w:val="36"/>
          </w:tcPr>
          <w:p>
            <w:pPr>
              <w:spacing w:after="0"/>
              <w:rPr>
                <w:rFonts w:ascii="Times New Roman" w:cs="Times New Roman" w:eastAsia="Times New Roman" w:hAnsi="Times New Roman"/>
                <w:sz w:val="17"/>
                <w:szCs w:val="17"/>
                <w:u w:val="single" w:color="auto"/>
                <w:color w:val="0000FF"/>
              </w:rPr>
            </w:pPr>
            <w:hyperlink r:id="rId166">
              <w:r>
                <w:rPr>
                  <w:rFonts w:ascii="Times New Roman" w:cs="Times New Roman" w:eastAsia="Times New Roman" w:hAnsi="Times New Roman"/>
                  <w:sz w:val="17"/>
                  <w:szCs w:val="17"/>
                  <w:u w:val="single" w:color="auto"/>
                  <w:color w:val="0000FF"/>
                </w:rPr>
                <w:t>Support Agreement, dated November 26, 2018, by and among Campbell Soup Company and Third Point LLC, Third Point Partners Qualified</w:t>
              </w:r>
            </w:hyperlink>
          </w:p>
        </w:tc>
      </w:tr>
    </w:tbl>
    <w:p>
      <w:pPr>
        <w:ind w:left="1100"/>
        <w:spacing w:after="0" w:line="213" w:lineRule="auto"/>
        <w:rPr>
          <w:rFonts w:ascii="Times New Roman" w:cs="Times New Roman" w:eastAsia="Times New Roman" w:hAnsi="Times New Roman"/>
          <w:sz w:val="17"/>
          <w:szCs w:val="17"/>
          <w:u w:val="single" w:color="auto"/>
          <w:color w:val="0000FF"/>
        </w:rPr>
      </w:pPr>
      <w:hyperlink r:id="rId166">
        <w:r>
          <w:rPr>
            <w:rFonts w:ascii="Times New Roman" w:cs="Times New Roman" w:eastAsia="Times New Roman" w:hAnsi="Times New Roman"/>
            <w:sz w:val="17"/>
            <w:szCs w:val="17"/>
            <w:u w:val="single" w:color="auto"/>
            <w:color w:val="0000FF"/>
          </w:rPr>
          <w:t>L.P., Third Point Partners L.P., Third Point Offshore Master Fund L.P., Third Point Ultra Master Fund L.P., Third Point Enhanced L.P., Third Point</w:t>
        </w:r>
      </w:hyperlink>
      <w:r>
        <w:rPr>
          <w:rFonts w:ascii="Times New Roman" w:cs="Times New Roman" w:eastAsia="Times New Roman" w:hAnsi="Times New Roman"/>
          <w:sz w:val="17"/>
          <w:szCs w:val="17"/>
          <w:u w:val="single" w:color="auto"/>
          <w:color w:val="0000FF"/>
        </w:rPr>
        <w:t xml:space="preserve"> </w:t>
      </w:r>
      <w:hyperlink r:id="rId166">
        <w:r>
          <w:rPr>
            <w:rFonts w:ascii="Times New Roman" w:cs="Times New Roman" w:eastAsia="Times New Roman" w:hAnsi="Times New Roman"/>
            <w:sz w:val="17"/>
            <w:szCs w:val="17"/>
            <w:u w:val="single" w:color="auto"/>
            <w:color w:val="0000FF"/>
          </w:rPr>
          <w:t>Advisors LLC, Third Point Advisors II LLC and the Revocable Trust of Goerge Strawbridge, Jr., dated January 21, 1991 is incorporated by</w:t>
        </w:r>
      </w:hyperlink>
    </w:p>
    <w:p>
      <w:pPr>
        <w:spacing w:after="0" w:line="1" w:lineRule="exact"/>
        <w:rPr>
          <w:sz w:val="20"/>
          <w:szCs w:val="20"/>
          <w:color w:val="auto"/>
        </w:rPr>
      </w:pPr>
    </w:p>
    <w:p>
      <w:pPr>
        <w:ind w:left="1100"/>
        <w:spacing w:after="0"/>
        <w:rPr>
          <w:rFonts w:ascii="Times New Roman" w:cs="Times New Roman" w:eastAsia="Times New Roman" w:hAnsi="Times New Roman"/>
          <w:sz w:val="17"/>
          <w:szCs w:val="17"/>
          <w:u w:val="single" w:color="auto"/>
          <w:color w:val="0000FF"/>
        </w:rPr>
      </w:pPr>
      <w:hyperlink r:id="rId166">
        <w:r>
          <w:rPr>
            <w:rFonts w:ascii="Times New Roman" w:cs="Times New Roman" w:eastAsia="Times New Roman" w:hAnsi="Times New Roman"/>
            <w:sz w:val="17"/>
            <w:szCs w:val="17"/>
            <w:u w:val="single" w:color="auto"/>
            <w:color w:val="0000FF"/>
          </w:rPr>
          <w:t>reference to Exhibit 10.1 to Campbell's Form 8-K (SEC file number 1-3822) filed with the SEC on November 26, 2018.</w:t>
        </w:r>
      </w:hyperlink>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118745</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60" w:top="974" w:right="359" w:bottom="1440" w:gutter="0" w:footer="0" w:header="0"/>
        </w:sectPr>
      </w:pPr>
    </w:p>
    <w:bookmarkStart w:id="81" w:name="page82"/>
    <w:bookmarkEnd w:id="81"/>
    <w:tbl>
      <w:tblPr>
        <w:tblLayout w:type="fixed"/>
        <w:tblInd w:w="7" w:type="dxa"/>
        <w:tblCellMar>
          <w:top w:w="0" w:type="dxa"/>
          <w:left w:w="0" w:type="dxa"/>
          <w:bottom w:w="0" w:type="dxa"/>
          <w:right w:w="0" w:type="dxa"/>
        </w:tblCellMar>
      </w:tblPr>
      <w:tr>
        <w:trPr>
          <w:trHeight w:val="19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10(w)</w:t>
            </w:r>
          </w:p>
        </w:tc>
        <w:tc>
          <w:tcPr>
            <w:tcW w:w="10100" w:type="dxa"/>
            <w:vAlign w:val="bottom"/>
            <w:gridSpan w:val="11"/>
          </w:tcPr>
          <w:p>
            <w:pPr>
              <w:spacing w:after="0"/>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2022 Non-Employee Director Fees are incorporated by reference to Exhibit 10.1 to Campbell’s Form 10-Q (SEC file number 1-3822) for the</w:t>
              </w:r>
            </w:hyperlink>
          </w:p>
        </w:tc>
        <w:tc>
          <w:tcPr>
            <w:tcW w:w="0" w:type="dxa"/>
            <w:vAlign w:val="bottom"/>
          </w:tcPr>
          <w:p>
            <w:pPr>
              <w:spacing w:after="0"/>
              <w:rPr>
                <w:sz w:val="1"/>
                <w:szCs w:val="1"/>
                <w:color w:val="auto"/>
              </w:rPr>
            </w:pPr>
          </w:p>
        </w:tc>
      </w:tr>
      <w:tr>
        <w:trPr>
          <w:trHeight w:val="173"/>
        </w:trPr>
        <w:tc>
          <w:tcPr>
            <w:tcW w:w="1100" w:type="dxa"/>
            <w:vAlign w:val="bottom"/>
          </w:tcPr>
          <w:p>
            <w:pPr>
              <w:spacing w:after="0"/>
              <w:rPr>
                <w:sz w:val="15"/>
                <w:szCs w:val="15"/>
                <w:color w:val="auto"/>
              </w:rPr>
            </w:pPr>
          </w:p>
        </w:tc>
        <w:tc>
          <w:tcPr>
            <w:tcW w:w="264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fiscal quarter ended October 31, 2021.</w:t>
              </w:r>
            </w:hyperlink>
          </w:p>
        </w:tc>
        <w:tc>
          <w:tcPr>
            <w:tcW w:w="7040" w:type="dxa"/>
            <w:vAlign w:val="bottom"/>
            <w:tcBorders>
              <w:top w:val="single" w:sz="8" w:color="0000FF"/>
            </w:tcBorders>
            <w:gridSpan w:val="5"/>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5"/>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10(x)+</w:t>
            </w:r>
          </w:p>
        </w:tc>
        <w:tc>
          <w:tcPr>
            <w:tcW w:w="10100" w:type="dxa"/>
            <w:vAlign w:val="bottom"/>
            <w:gridSpan w:val="11"/>
          </w:tcPr>
          <w:p>
            <w:pPr>
              <w:spacing w:after="0"/>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First Amendment to the Campbell Soup Company Supplemental Retirement Plan effective November 30, 2018 is incorporated by reference to</w:t>
              </w:r>
            </w:hyperlink>
          </w:p>
        </w:tc>
        <w:tc>
          <w:tcPr>
            <w:tcW w:w="0" w:type="dxa"/>
            <w:vAlign w:val="bottom"/>
          </w:tcPr>
          <w:p>
            <w:pPr>
              <w:spacing w:after="0"/>
              <w:rPr>
                <w:sz w:val="1"/>
                <w:szCs w:val="1"/>
                <w:color w:val="auto"/>
              </w:rPr>
            </w:pPr>
          </w:p>
        </w:tc>
      </w:tr>
      <w:tr>
        <w:trPr>
          <w:trHeight w:val="147"/>
        </w:trPr>
        <w:tc>
          <w:tcPr>
            <w:tcW w:w="1100" w:type="dxa"/>
            <w:vAlign w:val="bottom"/>
          </w:tcPr>
          <w:p>
            <w:pPr>
              <w:spacing w:after="0"/>
              <w:rPr>
                <w:sz w:val="12"/>
                <w:szCs w:val="12"/>
                <w:color w:val="auto"/>
              </w:rPr>
            </w:pPr>
          </w:p>
        </w:tc>
        <w:tc>
          <w:tcPr>
            <w:tcW w:w="7720" w:type="dxa"/>
            <w:vAlign w:val="bottom"/>
            <w:tcBorders>
              <w:top w:val="single" w:sz="8" w:color="0000FF"/>
              <w:bottom w:val="single" w:sz="8" w:color="0000FF"/>
            </w:tcBorders>
            <w:gridSpan w:val="5"/>
          </w:tcPr>
          <w:p>
            <w:pPr>
              <w:spacing w:after="0" w:line="147"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Exhibit 10(b) to Campbell's Form 10-Q (SEC file number 1-3822) for the fiscal quarter ended January 27, 2019.</w:t>
              </w:r>
            </w:hyperlink>
          </w:p>
        </w:tc>
        <w:tc>
          <w:tcPr>
            <w:tcW w:w="234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10(y)+</w:t>
            </w:r>
          </w:p>
        </w:tc>
        <w:tc>
          <w:tcPr>
            <w:tcW w:w="10100" w:type="dxa"/>
            <w:vAlign w:val="bottom"/>
            <w:gridSpan w:val="11"/>
          </w:tcPr>
          <w:p>
            <w:pPr>
              <w:spacing w:after="0"/>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Second Amendment to the Campbell Soup Company Supplemental Retirement Plan effective September 16, 2020 is incorporated by reference to</w:t>
              </w:r>
            </w:hyperlink>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980" w:type="dxa"/>
            <w:vAlign w:val="bottom"/>
            <w:tcBorders>
              <w:top w:val="single" w:sz="8" w:color="0000FF"/>
            </w:tcBorders>
            <w:gridSpan w:val="8"/>
          </w:tcPr>
          <w:p>
            <w:pPr>
              <w:spacing w:after="0" w:line="135" w:lineRule="exact"/>
              <w:rPr>
                <w:rFonts w:ascii="Times New Roman" w:cs="Times New Roman" w:eastAsia="Times New Roman" w:hAnsi="Times New Roman"/>
                <w:sz w:val="15"/>
                <w:szCs w:val="15"/>
                <w:color w:val="0000FF"/>
              </w:rPr>
            </w:pPr>
            <w:hyperlink r:id="rId170">
              <w:r>
                <w:rPr>
                  <w:rFonts w:ascii="Times New Roman" w:cs="Times New Roman" w:eastAsia="Times New Roman" w:hAnsi="Times New Roman"/>
                  <w:sz w:val="15"/>
                  <w:szCs w:val="15"/>
                  <w:color w:val="0000FF"/>
                </w:rPr>
                <w:t>Exhibit 10(bb) to Campbell's Form 10-K (SEC file number 1-3822) for the fiscal year ended August 2, 2020.</w:t>
              </w:r>
            </w:hyperlink>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45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10(z)+</w:t>
            </w:r>
          </w:p>
        </w:tc>
        <w:tc>
          <w:tcPr>
            <w:tcW w:w="10100" w:type="dxa"/>
            <w:vAlign w:val="bottom"/>
            <w:gridSpan w:val="11"/>
          </w:tcPr>
          <w:p>
            <w:pPr>
              <w:spacing w:after="0"/>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Third Amendment to the Campbell Soup Company Supplemental Retirement Plan effective December 31, 2020 is incorporated by reference to</w:t>
              </w:r>
            </w:hyperlink>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7640" w:type="dxa"/>
            <w:vAlign w:val="bottom"/>
            <w:tcBorders>
              <w:top w:val="single" w:sz="8" w:color="0000FF"/>
              <w:bottom w:val="single" w:sz="8" w:color="0000FF"/>
            </w:tcBorders>
            <w:gridSpan w:val="4"/>
          </w:tcPr>
          <w:p>
            <w:pPr>
              <w:spacing w:after="0" w:line="135" w:lineRule="exact"/>
              <w:rPr>
                <w:rFonts w:ascii="Times New Roman" w:cs="Times New Roman" w:eastAsia="Times New Roman" w:hAnsi="Times New Roman"/>
                <w:sz w:val="15"/>
                <w:szCs w:val="15"/>
                <w:color w:val="0000FF"/>
              </w:rPr>
            </w:pPr>
            <w:hyperlink r:id="rId171">
              <w:r>
                <w:rPr>
                  <w:rFonts w:ascii="Times New Roman" w:cs="Times New Roman" w:eastAsia="Times New Roman" w:hAnsi="Times New Roman"/>
                  <w:sz w:val="15"/>
                  <w:szCs w:val="15"/>
                  <w:color w:val="0000FF"/>
                </w:rPr>
                <w:t>Exhibit 10.1 to Campbell's Form 10-Q (SEC file number 1-3822) for the fiscal quarter ended January 31, 2021.</w:t>
              </w:r>
            </w:hyperlink>
          </w:p>
        </w:tc>
        <w:tc>
          <w:tcPr>
            <w:tcW w:w="2180" w:type="dxa"/>
            <w:vAlign w:val="bottom"/>
            <w:tcBorders>
              <w:top w:val="single" w:sz="8" w:color="0000FF"/>
            </w:tcBorders>
            <w:gridSpan w:val="3"/>
          </w:tcPr>
          <w:p>
            <w:pPr>
              <w:spacing w:after="0"/>
              <w:rPr>
                <w:sz w:val="12"/>
                <w:szCs w:val="12"/>
                <w:color w:val="auto"/>
              </w:rPr>
            </w:pPr>
          </w:p>
        </w:tc>
        <w:tc>
          <w:tcPr>
            <w:tcW w:w="2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10(aa)+</w:t>
            </w:r>
          </w:p>
        </w:tc>
        <w:tc>
          <w:tcPr>
            <w:tcW w:w="10100" w:type="dxa"/>
            <w:vAlign w:val="bottom"/>
            <w:gridSpan w:val="11"/>
          </w:tcPr>
          <w:p>
            <w:pPr>
              <w:spacing w:after="0"/>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Campbell Soup Company Executive Severance Pay Plan is incorporated by reference to Exhibit 10 to Campbell's Form 8-K (SEC file number 1-</w:t>
              </w:r>
            </w:hyperlink>
          </w:p>
        </w:tc>
        <w:tc>
          <w:tcPr>
            <w:tcW w:w="0" w:type="dxa"/>
            <w:vAlign w:val="bottom"/>
          </w:tcPr>
          <w:p>
            <w:pPr>
              <w:spacing w:after="0"/>
              <w:rPr>
                <w:sz w:val="1"/>
                <w:szCs w:val="1"/>
                <w:color w:val="auto"/>
              </w:rPr>
            </w:pPr>
          </w:p>
        </w:tc>
      </w:tr>
      <w:tr>
        <w:trPr>
          <w:trHeight w:val="147"/>
        </w:trPr>
        <w:tc>
          <w:tcPr>
            <w:tcW w:w="1100" w:type="dxa"/>
            <w:vAlign w:val="bottom"/>
          </w:tcPr>
          <w:p>
            <w:pPr>
              <w:spacing w:after="0"/>
              <w:rPr>
                <w:sz w:val="12"/>
                <w:szCs w:val="12"/>
                <w:color w:val="auto"/>
              </w:rPr>
            </w:pPr>
          </w:p>
        </w:tc>
        <w:tc>
          <w:tcPr>
            <w:tcW w:w="2940" w:type="dxa"/>
            <w:vAlign w:val="bottom"/>
            <w:tcBorders>
              <w:top w:val="single" w:sz="8" w:color="0000FF"/>
              <w:bottom w:val="single" w:sz="8" w:color="0000FF"/>
            </w:tcBorders>
            <w:gridSpan w:val="2"/>
          </w:tcPr>
          <w:p>
            <w:pPr>
              <w:spacing w:after="0" w:line="147"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3822) filed with the SEC on April 2, 2019.</w:t>
              </w:r>
            </w:hyperlink>
          </w:p>
        </w:tc>
        <w:tc>
          <w:tcPr>
            <w:tcW w:w="714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1107" w:hanging="1107"/>
        <w:spacing w:after="0"/>
        <w:tabs>
          <w:tab w:leader="none" w:pos="1107"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Subsidiary List.</w:t>
      </w:r>
    </w:p>
    <w:p>
      <w:pPr>
        <w:spacing w:after="0" w:line="114" w:lineRule="exact"/>
        <w:rPr>
          <w:sz w:val="20"/>
          <w:szCs w:val="20"/>
          <w:color w:val="auto"/>
        </w:rPr>
      </w:pPr>
    </w:p>
    <w:p>
      <w:pPr>
        <w:ind w:left="1107" w:hanging="1107"/>
        <w:spacing w:after="0"/>
        <w:tabs>
          <w:tab w:leader="none" w:pos="110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Consent of Independent Registered Public Accounting Firm.</w:t>
      </w:r>
    </w:p>
    <w:p>
      <w:pPr>
        <w:spacing w:after="0" w:line="113" w:lineRule="exact"/>
        <w:rPr>
          <w:rFonts w:ascii="Times New Roman" w:cs="Times New Roman" w:eastAsia="Times New Roman" w:hAnsi="Times New Roman"/>
          <w:sz w:val="17"/>
          <w:szCs w:val="17"/>
          <w:color w:val="auto"/>
        </w:rPr>
      </w:pPr>
    </w:p>
    <w:p>
      <w:pPr>
        <w:ind w:left="1107" w:hanging="1107"/>
        <w:spacing w:after="0"/>
        <w:tabs>
          <w:tab w:leader="none" w:pos="110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Powers of Attorney.</w:t>
      </w:r>
    </w:p>
    <w:p>
      <w:pPr>
        <w:spacing w:after="0" w:line="102" w:lineRule="exact"/>
        <w:rPr>
          <w:sz w:val="20"/>
          <w:szCs w:val="20"/>
          <w:color w:val="auto"/>
        </w:rPr>
      </w:pPr>
    </w:p>
    <w:tbl>
      <w:tblPr>
        <w:tblLayout w:type="fixed"/>
        <w:tblInd w:w="7" w:type="dxa"/>
        <w:tblCellMar>
          <w:top w:w="0" w:type="dxa"/>
          <w:left w:w="0" w:type="dxa"/>
          <w:bottom w:w="0" w:type="dxa"/>
          <w:right w:w="0" w:type="dxa"/>
        </w:tblCellMar>
      </w:tblPr>
      <w:tr>
        <w:trPr>
          <w:trHeight w:val="195"/>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31(a)</w:t>
            </w:r>
          </w:p>
        </w:tc>
        <w:tc>
          <w:tcPr>
            <w:tcW w:w="49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Certification of Mark A. Clouse pursuant to Rule 13a-14(a).</w:t>
            </w:r>
          </w:p>
        </w:tc>
      </w:tr>
      <w:tr>
        <w:trPr>
          <w:trHeight w:val="20"/>
        </w:trPr>
        <w:tc>
          <w:tcPr>
            <w:tcW w:w="110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8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31(b)</w:t>
            </w:r>
          </w:p>
        </w:tc>
        <w:tc>
          <w:tcPr>
            <w:tcW w:w="44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Certification of Mick J. Beekhuizen pursuant to Rule 13a-14(a).</w:t>
            </w:r>
          </w:p>
        </w:tc>
        <w:tc>
          <w:tcPr>
            <w:tcW w:w="580" w:type="dxa"/>
            <w:vAlign w:val="bottom"/>
            <w:gridSpan w:val="2"/>
          </w:tcPr>
          <w:p>
            <w:pPr>
              <w:spacing w:after="0"/>
              <w:rPr>
                <w:sz w:val="24"/>
                <w:szCs w:val="24"/>
                <w:color w:val="auto"/>
              </w:rPr>
            </w:pPr>
          </w:p>
        </w:tc>
      </w:tr>
      <w:tr>
        <w:trPr>
          <w:trHeight w:val="28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32(a)</w:t>
            </w:r>
          </w:p>
        </w:tc>
        <w:tc>
          <w:tcPr>
            <w:tcW w:w="4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Certification of Mark A. Clouse pursuant to 18 U.S.C. Section 1350.</w:t>
            </w:r>
          </w:p>
        </w:tc>
        <w:tc>
          <w:tcPr>
            <w:tcW w:w="260" w:type="dxa"/>
            <w:vAlign w:val="bottom"/>
          </w:tcPr>
          <w:p>
            <w:pPr>
              <w:spacing w:after="0"/>
              <w:rPr>
                <w:sz w:val="24"/>
                <w:szCs w:val="24"/>
                <w:color w:val="auto"/>
              </w:rPr>
            </w:pPr>
          </w:p>
        </w:tc>
      </w:tr>
      <w:tr>
        <w:trPr>
          <w:trHeight w:val="28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32(b)</w:t>
            </w:r>
          </w:p>
        </w:tc>
        <w:tc>
          <w:tcPr>
            <w:tcW w:w="49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Certification of Mick J. Beekhuizen pursuant to 18 U.S.C. Section 1350.</w:t>
            </w: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4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XBRL Instance Document</w:t>
            </w: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4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XBRL Schema Document</w:t>
            </w: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4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XBRL Calculation Linkbase Document</w:t>
            </w: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4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XBRL Definition Linkbase Document</w:t>
            </w: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4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XBRL Label Linkbase Document</w:t>
            </w: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4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XBRL Presentation Linkbase Document</w:t>
            </w:r>
          </w:p>
        </w:tc>
      </w:tr>
    </w:tbl>
    <w:p>
      <w:pPr>
        <w:spacing w:after="0" w:line="99" w:lineRule="exact"/>
        <w:rPr>
          <w:sz w:val="20"/>
          <w:szCs w:val="20"/>
          <w:color w:val="auto"/>
        </w:rPr>
      </w:pPr>
    </w:p>
    <w:p>
      <w:pPr>
        <w:ind w:left="7" w:right="3100" w:hanging="7"/>
        <w:spacing w:after="0" w:line="428" w:lineRule="auto"/>
        <w:tabs>
          <w:tab w:leader="none" w:pos="1114"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from this Annual Report on Form 10-K, formulated in Inline XBRL (see exhibit 101) +This exhibit is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118745</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7"/>
          </w:cols>
          <w:pgMar w:left="353" w:top="1076" w:right="379" w:bottom="1440" w:gutter="0" w:footer="0" w:header="0"/>
        </w:sectPr>
      </w:pPr>
    </w:p>
    <w:bookmarkStart w:id="82" w:name="page83"/>
    <w:bookmarkEnd w:id="8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8" w:lineRule="exact"/>
        <w:rPr>
          <w:sz w:val="20"/>
          <w:szCs w:val="20"/>
          <w:color w:val="auto"/>
        </w:rPr>
      </w:pPr>
    </w:p>
    <w:p>
      <w:pPr>
        <w:ind w:right="100" w:firstLine="309"/>
        <w:spacing w:after="0" w:line="286"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Campbell has duly caused this Report to be signed on its behalf by the undersigned, thereunto duly authorized.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22, 2022</w:t>
      </w:r>
    </w:p>
    <w:p>
      <w:pPr>
        <w:spacing w:after="0" w:line="45" w:lineRule="exact"/>
        <w:rPr>
          <w:sz w:val="20"/>
          <w:szCs w:val="20"/>
          <w:color w:val="auto"/>
        </w:rPr>
      </w:pPr>
    </w:p>
    <w:tbl>
      <w:tblPr>
        <w:tblLayout w:type="fixed"/>
        <w:tblInd w:w="5420" w:type="dxa"/>
        <w:tblCellMar>
          <w:top w:w="0" w:type="dxa"/>
          <w:left w:w="0" w:type="dxa"/>
          <w:bottom w:w="0" w:type="dxa"/>
          <w:right w:w="0" w:type="dxa"/>
        </w:tblCellMar>
      </w:tblPr>
      <w:tr>
        <w:trPr>
          <w:trHeight w:val="227"/>
        </w:trPr>
        <w:tc>
          <w:tcPr>
            <w:tcW w:w="280" w:type="dxa"/>
            <w:vAlign w:val="bottom"/>
          </w:tcPr>
          <w:p>
            <w:pPr>
              <w:spacing w:after="0"/>
              <w:rPr>
                <w:sz w:val="19"/>
                <w:szCs w:val="19"/>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CAMPBELL SOUP COMPANY</w:t>
            </w:r>
          </w:p>
        </w:tc>
      </w:tr>
      <w:tr>
        <w:trPr>
          <w:trHeight w:val="424"/>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/s/Mick J. Beekhuizen</w:t>
            </w:r>
          </w:p>
        </w:tc>
      </w:tr>
      <w:tr>
        <w:trPr>
          <w:trHeight w:val="208"/>
        </w:trPr>
        <w:tc>
          <w:tcPr>
            <w:tcW w:w="280" w:type="dxa"/>
            <w:vAlign w:val="bottom"/>
          </w:tcPr>
          <w:p>
            <w:pPr>
              <w:spacing w:after="0"/>
              <w:rPr>
                <w:sz w:val="18"/>
                <w:szCs w:val="18"/>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Mick J. Beekhuizen</w:t>
            </w:r>
          </w:p>
        </w:tc>
      </w:tr>
      <w:tr>
        <w:trPr>
          <w:trHeight w:val="171"/>
        </w:trPr>
        <w:tc>
          <w:tcPr>
            <w:tcW w:w="280" w:type="dxa"/>
            <w:vAlign w:val="bottom"/>
          </w:tcPr>
          <w:p>
            <w:pPr>
              <w:spacing w:after="0"/>
              <w:rPr>
                <w:sz w:val="14"/>
                <w:szCs w:val="14"/>
                <w:color w:val="auto"/>
              </w:rPr>
            </w:pPr>
          </w:p>
        </w:tc>
        <w:tc>
          <w:tcPr>
            <w:tcW w:w="5000" w:type="dxa"/>
            <w:vAlign w:val="bottom"/>
          </w:tcPr>
          <w:p>
            <w:pPr>
              <w:jc w:val="center"/>
              <w:spacing w:after="0" w:line="171" w:lineRule="exact"/>
              <w:rPr>
                <w:sz w:val="20"/>
                <w:szCs w:val="20"/>
                <w:color w:val="auto"/>
              </w:rPr>
            </w:pPr>
            <w:r>
              <w:rPr>
                <w:rFonts w:ascii="Times New Roman" w:cs="Times New Roman" w:eastAsia="Times New Roman" w:hAnsi="Times New Roman"/>
                <w:sz w:val="17"/>
                <w:szCs w:val="17"/>
                <w:color w:val="auto"/>
              </w:rPr>
              <w:t>Executive Vice President and Chief Financial Officer (Principal</w:t>
            </w:r>
          </w:p>
        </w:tc>
      </w:tr>
      <w:tr>
        <w:trPr>
          <w:trHeight w:val="223"/>
        </w:trPr>
        <w:tc>
          <w:tcPr>
            <w:tcW w:w="280" w:type="dxa"/>
            <w:vAlign w:val="bottom"/>
          </w:tcPr>
          <w:p>
            <w:pPr>
              <w:spacing w:after="0"/>
              <w:rPr>
                <w:sz w:val="19"/>
                <w:szCs w:val="19"/>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Financial Officer)</w:t>
            </w:r>
          </w:p>
        </w:tc>
      </w:tr>
    </w:tbl>
    <w:p>
      <w:pPr>
        <w:spacing w:after="0" w:line="186" w:lineRule="exact"/>
        <w:rPr>
          <w:sz w:val="20"/>
          <w:szCs w:val="20"/>
          <w:color w:val="auto"/>
        </w:rPr>
      </w:pPr>
    </w:p>
    <w:p>
      <w:pPr>
        <w:ind w:right="380" w:firstLine="309"/>
        <w:spacing w:after="0" w:line="28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this Report has been signed below by the following persons on behalf of Campbell and in the capacities indicated on September 22, 2022.</w:t>
      </w:r>
    </w:p>
    <w:p>
      <w:pPr>
        <w:spacing w:after="0" w:line="3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17145</wp:posOffset>
            </wp:positionV>
            <wp:extent cx="64141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6414135" cy="8255"/>
                    </a:xfrm>
                    <a:prstGeom prst="rect">
                      <a:avLst/>
                    </a:prstGeom>
                    <a:noFill/>
                  </pic:spPr>
                </pic:pic>
              </a:graphicData>
            </a:graphic>
          </wp:anchor>
        </w:drawing>
      </w:r>
    </w:p>
    <w:p>
      <w:pPr>
        <w:sectPr>
          <w:pgSz w:w="11900" w:h="16838" w:orient="portrait"/>
          <w:cols w:equalWidth="0" w:num="1">
            <w:col w:w="11340"/>
          </w:cols>
          <w:pgMar w:left="320" w:top="943" w:right="239" w:bottom="1440" w:gutter="0" w:footer="0" w:header="0"/>
        </w:sectPr>
      </w:pPr>
    </w:p>
    <w:p>
      <w:pPr>
        <w:spacing w:after="0" w:line="22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color w:val="auto"/>
        </w:rPr>
        <w:t>/s/ Mark A.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17145</wp:posOffset>
            </wp:positionV>
            <wp:extent cx="31070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color w:val="auto"/>
        </w:rPr>
        <w:t>Mark A. Clouse</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President and Chief Executive Officer and Director</w:t>
      </w:r>
    </w:p>
    <w:p>
      <w:pPr>
        <w:spacing w:after="0" w:line="23"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2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7"/>
          <w:szCs w:val="17"/>
          <w:color w:val="auto"/>
        </w:rPr>
        <w:t>/s/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17145</wp:posOffset>
            </wp:positionV>
            <wp:extent cx="31070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6">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Mick J. Beekhuizen</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3"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2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7"/>
          <w:szCs w:val="17"/>
          <w:color w:val="auto"/>
        </w:rPr>
        <w:t>/s/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17145</wp:posOffset>
            </wp:positionV>
            <wp:extent cx="31070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color w:val="auto"/>
        </w:rPr>
        <w:t>Stanley Polomski</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Senior Vice President and Controller</w:t>
      </w:r>
    </w:p>
    <w:p>
      <w:pPr>
        <w:spacing w:after="0" w:line="23"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(Principal Accounting Officer)</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17145</wp:posOffset>
            </wp:positionV>
            <wp:extent cx="31070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color w:val="auto"/>
        </w:rPr>
        <w:t>Keith R. McLoughlin</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Chair and Director</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17145</wp:posOffset>
            </wp:positionV>
            <wp:extent cx="31070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9">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color w:val="auto"/>
        </w:rPr>
        <w:t>Fabiola R. Arredondo</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Director</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17145</wp:posOffset>
            </wp:positionV>
            <wp:extent cx="31070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0">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color w:val="auto"/>
        </w:rPr>
        <w:t>Howard M. Averill</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Director</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17145</wp:posOffset>
            </wp:positionV>
            <wp:extent cx="31070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1">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John P. Bilbrey</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Director</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17145</wp:posOffset>
            </wp:positionV>
            <wp:extent cx="31070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7"/>
          <w:szCs w:val="17"/>
          <w:color w:val="auto"/>
        </w:rPr>
        <w:t>Bennett Dorrance, Jr.</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54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3">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Maria Teresa Hilado</w:t>
      </w:r>
    </w:p>
    <w:p>
      <w:pPr>
        <w:spacing w:after="0" w:line="2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4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54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4">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Grant H. Hill</w:t>
      </w:r>
    </w:p>
    <w:p>
      <w:pPr>
        <w:spacing w:after="0" w:line="2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4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54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5">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Sarah Hofstetter</w:t>
      </w:r>
    </w:p>
    <w:p>
      <w:pPr>
        <w:spacing w:after="0" w:line="2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4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54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6">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Marc B. Lautenbach</w:t>
      </w:r>
    </w:p>
    <w:p>
      <w:pPr>
        <w:spacing w:after="0" w:line="27" w:lineRule="exact"/>
        <w:rPr>
          <w:sz w:val="20"/>
          <w:szCs w:val="20"/>
          <w:color w:val="auto"/>
        </w:rPr>
      </w:pPr>
    </w:p>
    <w:p>
      <w:pPr>
        <w:jc w:val="center"/>
        <w:ind w:left="-259"/>
        <w:spacing w:after="0"/>
        <w:rPr>
          <w:sz w:val="20"/>
          <w:szCs w:val="20"/>
          <w:color w:val="auto"/>
        </w:rPr>
      </w:pPr>
      <w:r>
        <w:rPr>
          <w:rFonts w:ascii="Times New Roman" w:cs="Times New Roman" w:eastAsia="Times New Roman" w:hAnsi="Times New Roman"/>
          <w:sz w:val="17"/>
          <w:szCs w:val="17"/>
          <w:color w:val="auto"/>
        </w:rPr>
        <w:t>Director</w:t>
      </w: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54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7">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color w:val="auto"/>
        </w:rPr>
        <w:t>Mary Alice D. Malone</w:t>
      </w:r>
    </w:p>
    <w:p>
      <w:pPr>
        <w:spacing w:after="0" w:line="27" w:lineRule="exact"/>
        <w:rPr>
          <w:sz w:val="20"/>
          <w:szCs w:val="20"/>
          <w:color w:val="auto"/>
        </w:rPr>
      </w:pPr>
    </w:p>
    <w:p>
      <w:pPr>
        <w:jc w:val="center"/>
        <w:ind w:left="-259"/>
        <w:spacing w:after="0"/>
        <w:rPr>
          <w:sz w:val="20"/>
          <w:szCs w:val="20"/>
          <w:color w:val="auto"/>
        </w:rPr>
      </w:pPr>
      <w:r>
        <w:rPr>
          <w:rFonts w:ascii="Times New Roman" w:cs="Times New Roman" w:eastAsia="Times New Roman" w:hAnsi="Times New Roman"/>
          <w:sz w:val="17"/>
          <w:szCs w:val="17"/>
          <w:color w:val="auto"/>
        </w:rPr>
        <w:t>Director</w:t>
      </w: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54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8">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Kurt T. Schmidt</w:t>
      </w:r>
    </w:p>
    <w:p>
      <w:pPr>
        <w:spacing w:after="0" w:line="27" w:lineRule="exact"/>
        <w:rPr>
          <w:sz w:val="20"/>
          <w:szCs w:val="20"/>
          <w:color w:val="auto"/>
        </w:rPr>
      </w:pPr>
    </w:p>
    <w:p>
      <w:pPr>
        <w:jc w:val="center"/>
        <w:ind w:left="-259"/>
        <w:spacing w:after="0"/>
        <w:rPr>
          <w:sz w:val="20"/>
          <w:szCs w:val="20"/>
          <w:color w:val="auto"/>
        </w:rPr>
      </w:pPr>
      <w:r>
        <w:rPr>
          <w:rFonts w:ascii="Times New Roman" w:cs="Times New Roman" w:eastAsia="Times New Roman" w:hAnsi="Times New Roman"/>
          <w:sz w:val="17"/>
          <w:szCs w:val="17"/>
          <w:color w:val="auto"/>
        </w:rPr>
        <w:t>Director</w:t>
      </w: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54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9">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Archbold D. van Beuren</w:t>
      </w:r>
    </w:p>
    <w:p>
      <w:pPr>
        <w:spacing w:after="0" w:line="2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color w:val="auto"/>
        </w:rPr>
        <w:t>Director</w:t>
      </w:r>
    </w:p>
    <w:p>
      <w:pPr>
        <w:spacing w:after="0" w:line="225" w:lineRule="exact"/>
        <w:rPr>
          <w:sz w:val="20"/>
          <w:szCs w:val="20"/>
          <w:color w:val="auto"/>
        </w:rPr>
      </w:pPr>
    </w:p>
    <w:p>
      <w:pPr>
        <w:ind w:left="1380" w:hanging="134"/>
        <w:spacing w:after="0"/>
        <w:tabs>
          <w:tab w:leader="none" w:pos="13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 Charles A. Brawley, III</w:t>
      </w:r>
    </w:p>
    <w:p>
      <w:pPr>
        <w:spacing w:after="0" w:line="3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Charles A. Brawley,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26854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0">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Title: Senior Vice President, Deputy General Counsel and Co Secretary,</w:t>
      </w:r>
    </w:p>
    <w:p>
      <w:pPr>
        <w:ind w:left="60"/>
        <w:spacing w:after="0"/>
        <w:rPr>
          <w:sz w:val="20"/>
          <w:szCs w:val="20"/>
          <w:color w:val="auto"/>
        </w:rPr>
      </w:pPr>
      <w:r>
        <w:rPr>
          <w:rFonts w:ascii="Times New Roman" w:cs="Times New Roman" w:eastAsia="Times New Roman" w:hAnsi="Times New Roman"/>
          <w:sz w:val="17"/>
          <w:szCs w:val="17"/>
          <w:color w:val="auto"/>
        </w:rPr>
        <w:t>as Attorney-in-fact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powers of attorney)</w:t>
      </w:r>
    </w:p>
    <w:p>
      <w:pPr>
        <w:spacing w:after="0" w:line="200" w:lineRule="exact"/>
        <w:rPr>
          <w:sz w:val="20"/>
          <w:szCs w:val="20"/>
          <w:color w:val="auto"/>
        </w:rPr>
      </w:pPr>
    </w:p>
    <w:p>
      <w:pPr>
        <w:sectPr>
          <w:pgSz w:w="11900" w:h="16838" w:orient="portrait"/>
          <w:cols w:equalWidth="0" w:num="2">
            <w:col w:w="6400" w:space="720"/>
            <w:col w:w="4220"/>
          </w:cols>
          <w:pgMar w:left="320" w:top="943" w:right="239" w:bottom="1440" w:gutter="0" w:footer="0" w:header="0"/>
          <w:type w:val="continuous"/>
        </w:sectPr>
      </w:pPr>
    </w:p>
    <w:p>
      <w:pPr>
        <w:spacing w:after="0" w:line="200" w:lineRule="exact"/>
        <w:rPr>
          <w:sz w:val="20"/>
          <w:szCs w:val="20"/>
          <w:color w:val="auto"/>
        </w:rPr>
      </w:pPr>
    </w:p>
    <w:p>
      <w:pPr>
        <w:spacing w:after="0" w:line="3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134620</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943" w:right="239" w:bottom="1440" w:gutter="0" w:footer="0" w:header="0"/>
          <w:type w:val="continuous"/>
        </w:sectPr>
      </w:pPr>
    </w:p>
    <w:bookmarkStart w:id="83" w:name="page84"/>
    <w:bookmarkEnd w:id="83"/>
    <w:p>
      <w:pPr>
        <w:jc w:val="right"/>
        <w:spacing w:after="0"/>
        <w:rPr>
          <w:sz w:val="20"/>
          <w:szCs w:val="20"/>
          <w:color w:val="auto"/>
        </w:rPr>
      </w:pPr>
      <w:r>
        <w:rPr>
          <w:rFonts w:ascii="Times New Roman" w:cs="Times New Roman" w:eastAsia="Times New Roman" w:hAnsi="Times New Roman"/>
          <w:sz w:val="17"/>
          <w:szCs w:val="17"/>
          <w:b w:val="1"/>
          <w:bCs w:val="1"/>
          <w:color w:val="auto"/>
        </w:rPr>
        <w:t>Schedule II</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CAMPBELL SOUP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Valuation and Qualifying Accounts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Fiscal Years ended July 31, 2022, August 1, 2021, and August 2, 2020</w:t>
      </w:r>
    </w:p>
    <w:p>
      <w:pPr>
        <w:spacing w:after="0" w:line="246" w:lineRule="exact"/>
        <w:rPr>
          <w:sz w:val="20"/>
          <w:szCs w:val="20"/>
          <w:color w:val="auto"/>
        </w:rPr>
      </w:pPr>
    </w:p>
    <w:p>
      <w:pPr>
        <w:ind w:firstLine="309"/>
        <w:spacing w:after="0" w:line="271" w:lineRule="auto"/>
        <w:rPr>
          <w:sz w:val="20"/>
          <w:szCs w:val="20"/>
          <w:color w:val="auto"/>
        </w:rPr>
      </w:pPr>
      <w:r>
        <w:rPr>
          <w:rFonts w:ascii="Times New Roman" w:cs="Times New Roman" w:eastAsia="Times New Roman" w:hAnsi="Times New Roman"/>
          <w:sz w:val="17"/>
          <w:szCs w:val="17"/>
          <w:color w:val="auto"/>
        </w:rPr>
        <w:t>This schedule of valuation and qualifying accounts for continuing operations should be read in conjunction with the Consolidated Financial Statements. This schedule excludes amounts related to discontinued operations. See Note 3 to the Consolidated Financial Statements for additional information.</w:t>
      </w:r>
    </w:p>
    <w:tbl>
      <w:tblPr>
        <w:tblLayout w:type="fixed"/>
        <w:tblInd w:w="0" w:type="dxa"/>
        <w:tblCellMar>
          <w:top w:w="0" w:type="dxa"/>
          <w:left w:w="0" w:type="dxa"/>
          <w:bottom w:w="0" w:type="dxa"/>
          <w:right w:w="0" w:type="dxa"/>
        </w:tblCellMar>
      </w:tblPr>
      <w:tr>
        <w:trPr>
          <w:trHeight w:val="142"/>
        </w:trPr>
        <w:tc>
          <w:tcPr>
            <w:tcW w:w="5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Charged to/</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0" w:lineRule="exact"/>
              <w:rPr>
                <w:sz w:val="20"/>
                <w:szCs w:val="20"/>
                <w:color w:val="auto"/>
              </w:rPr>
            </w:pPr>
            <w:r>
              <w:rPr>
                <w:rFonts w:ascii="Times New Roman" w:cs="Times New Roman" w:eastAsia="Times New Roman" w:hAnsi="Times New Roman"/>
                <w:sz w:val="14"/>
                <w:szCs w:val="14"/>
                <w:b w:val="1"/>
                <w:bCs w:val="1"/>
                <w:color w:val="auto"/>
                <w:w w:val="97"/>
              </w:rPr>
              <w:t>(Reduction in)</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restart"/>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90"/>
        </w:trPr>
        <w:tc>
          <w:tcPr>
            <w:tcW w:w="5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gridSpan w:val="2"/>
            <w:vMerge w:val="restart"/>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Balance at</w:t>
            </w:r>
          </w:p>
        </w:tc>
        <w:tc>
          <w:tcPr>
            <w:tcW w:w="100" w:type="dxa"/>
            <w:vAlign w:val="bottom"/>
          </w:tcPr>
          <w:p>
            <w:pPr>
              <w:spacing w:after="0"/>
              <w:rPr>
                <w:sz w:val="7"/>
                <w:szCs w:val="7"/>
                <w:color w:val="auto"/>
              </w:rPr>
            </w:pPr>
          </w:p>
        </w:tc>
        <w:tc>
          <w:tcPr>
            <w:tcW w:w="1080" w:type="dxa"/>
            <w:vAlign w:val="bottom"/>
            <w:gridSpan w:val="2"/>
            <w:vMerge w:val="restart"/>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Costs</w:t>
            </w: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5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35"/>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w w:val="97"/>
              </w:rPr>
              <w:t>Beginning of</w:t>
            </w: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40" w:type="dxa"/>
            <w:vAlign w:val="bottom"/>
          </w:tcPr>
          <w:p>
            <w:pPr>
              <w:spacing w:after="0"/>
              <w:rPr>
                <w:sz w:val="11"/>
                <w:szCs w:val="11"/>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60" w:type="dxa"/>
            <w:vAlign w:val="bottom"/>
          </w:tcPr>
          <w:p>
            <w:pPr>
              <w:spacing w:after="0"/>
              <w:rPr>
                <w:sz w:val="11"/>
                <w:szCs w:val="11"/>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Divestiture</w:t>
            </w:r>
          </w:p>
        </w:tc>
        <w:tc>
          <w:tcPr>
            <w:tcW w:w="1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55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Expenses</w:t>
            </w: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6"/>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Fiscal year ended July 31, 2022</w:t>
            </w: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discount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Bad debt reserve</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0" w:type="dxa"/>
            <w:vAlign w:val="bottom"/>
          </w:tcPr>
          <w:p>
            <w:pPr>
              <w:spacing w:after="0"/>
              <w:rPr>
                <w:sz w:val="1"/>
                <w:szCs w:val="1"/>
                <w:color w:val="auto"/>
              </w:rPr>
            </w:pPr>
          </w:p>
        </w:tc>
      </w:tr>
      <w:tr>
        <w:trPr>
          <w:trHeight w:val="219"/>
        </w:trPr>
        <w:tc>
          <w:tcPr>
            <w:tcW w:w="552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Returns reserve</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0" w:type="dxa"/>
            <w:vAlign w:val="bottom"/>
          </w:tcPr>
          <w:p>
            <w:pPr>
              <w:spacing w:after="0"/>
              <w:rPr>
                <w:sz w:val="1"/>
                <w:szCs w:val="1"/>
                <w:color w:val="auto"/>
              </w:rPr>
            </w:pPr>
          </w:p>
        </w:tc>
      </w:tr>
      <w:tr>
        <w:trPr>
          <w:trHeight w:val="237"/>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Accounts receivable allowances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Fiscal year ended August 1, 2021</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discount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Bad debt reserve</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9"/>
        </w:trPr>
        <w:tc>
          <w:tcPr>
            <w:tcW w:w="552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Returns reserve</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37"/>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Accounts receivable allowances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Fiscal year ended August 2, 2020</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discount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Bad debt reserve</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9"/>
        </w:trPr>
        <w:tc>
          <w:tcPr>
            <w:tcW w:w="552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Returns reserve</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37"/>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Accounts receivable allowances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w:t>
      </w:r>
    </w:p>
    <w:p>
      <w:pPr>
        <w:spacing w:after="0" w:line="101" w:lineRule="exact"/>
        <w:rPr>
          <w:sz w:val="20"/>
          <w:szCs w:val="20"/>
          <w:color w:val="auto"/>
        </w:rPr>
      </w:pPr>
    </w:p>
    <w:p>
      <w:pPr>
        <w:ind w:left="320" w:hanging="317"/>
        <w:spacing w:after="0" w:line="229" w:lineRule="auto"/>
        <w:tabs>
          <w:tab w:leader="none" w:pos="308" w:val="left"/>
        </w:tabs>
        <w:numPr>
          <w:ilvl w:val="0"/>
          <w:numId w:val="7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returns reserve is evaluated quarterly and adjusted accordingly. During each period, returns are charged to net sales in the Consolidated Statements of Earnings as incurred. Actual returns were approximately $110 million in 2022, $100 million in 2021, and $99 million in 2020, or less than 2% of net sales.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ectPr>
          <w:pgSz w:w="11900" w:h="16838" w:orient="portrait"/>
          <w:cols w:equalWidth="0" w:num="1">
            <w:col w:w="11240"/>
          </w:cols>
          <w:pgMar w:left="320" w:top="943"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7"/>
          <w:szCs w:val="17"/>
          <w:b w:val="1"/>
          <w:bCs w:val="1"/>
          <w:color w:val="auto"/>
        </w:rPr>
        <w:t>EXHIBIT 21</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4380" w:type="dxa"/>
            <w:vAlign w:val="bottom"/>
          </w:tcPr>
          <w:p>
            <w:pPr>
              <w:spacing w:after="0"/>
              <w:rPr>
                <w:sz w:val="19"/>
                <w:szCs w:val="19"/>
                <w:color w:val="auto"/>
              </w:rPr>
            </w:pPr>
          </w:p>
        </w:tc>
        <w:tc>
          <w:tcPr>
            <w:tcW w:w="6780" w:type="dxa"/>
            <w:vAlign w:val="bottom"/>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SUBSIDIARY LIST</w:t>
            </w:r>
          </w:p>
        </w:tc>
        <w:tc>
          <w:tcPr>
            <w:tcW w:w="0" w:type="dxa"/>
            <w:vAlign w:val="bottom"/>
          </w:tcPr>
          <w:p>
            <w:pPr>
              <w:spacing w:after="0"/>
              <w:rPr>
                <w:sz w:val="1"/>
                <w:szCs w:val="1"/>
                <w:color w:val="auto"/>
              </w:rPr>
            </w:pPr>
          </w:p>
        </w:tc>
      </w:tr>
      <w:tr>
        <w:trPr>
          <w:trHeight w:val="25"/>
        </w:trPr>
        <w:tc>
          <w:tcPr>
            <w:tcW w:w="4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5"/>
        </w:trPr>
        <w:tc>
          <w:tcPr>
            <w:tcW w:w="4380" w:type="dxa"/>
            <w:vAlign w:val="bottom"/>
            <w:shd w:val="clear" w:color="auto" w:fill="E6E6E6"/>
          </w:tcPr>
          <w:p>
            <w:pPr>
              <w:ind w:left="1660"/>
              <w:spacing w:after="0"/>
              <w:rPr>
                <w:sz w:val="20"/>
                <w:szCs w:val="20"/>
                <w:color w:val="auto"/>
              </w:rPr>
            </w:pPr>
            <w:r>
              <w:rPr>
                <w:rFonts w:ascii="Times New Roman" w:cs="Times New Roman" w:eastAsia="Times New Roman" w:hAnsi="Times New Roman"/>
                <w:sz w:val="17"/>
                <w:szCs w:val="17"/>
                <w:b w:val="1"/>
                <w:bCs w:val="1"/>
                <w:color w:val="auto"/>
              </w:rPr>
              <w:t>Name of Subsidiary and Name</w:t>
            </w:r>
          </w:p>
        </w:tc>
        <w:tc>
          <w:tcPr>
            <w:tcW w:w="1240" w:type="dxa"/>
            <w:vAlign w:val="bottom"/>
            <w:tcBorders>
              <w:right w:val="single" w:sz="8" w:color="00000A"/>
            </w:tcBorders>
            <w:shd w:val="clear" w:color="auto" w:fill="E6E6E6"/>
          </w:tcPr>
          <w:p>
            <w:pPr>
              <w:spacing w:after="0"/>
              <w:rPr>
                <w:sz w:val="24"/>
                <w:szCs w:val="24"/>
                <w:color w:val="auto"/>
              </w:rPr>
            </w:pPr>
          </w:p>
        </w:tc>
        <w:tc>
          <w:tcPr>
            <w:tcW w:w="5540" w:type="dxa"/>
            <w:vAlign w:val="bottom"/>
            <w:vMerge w:val="restart"/>
            <w:shd w:val="clear" w:color="auto" w:fill="E6E6E6"/>
          </w:tcPr>
          <w:p>
            <w:pPr>
              <w:ind w:left="170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00000A"/>
            </w:tcBorders>
            <w:shd w:val="clear" w:color="auto" w:fill="E6E6E6"/>
          </w:tcPr>
          <w:p>
            <w:pPr>
              <w:ind w:left="1680"/>
              <w:spacing w:after="0"/>
              <w:rPr>
                <w:sz w:val="20"/>
                <w:szCs w:val="20"/>
                <w:color w:val="auto"/>
              </w:rPr>
            </w:pPr>
            <w:r>
              <w:rPr>
                <w:rFonts w:ascii="Times New Roman" w:cs="Times New Roman" w:eastAsia="Times New Roman" w:hAnsi="Times New Roman"/>
                <w:sz w:val="17"/>
                <w:szCs w:val="17"/>
                <w:b w:val="1"/>
                <w:bCs w:val="1"/>
                <w:color w:val="auto"/>
              </w:rPr>
              <w:t>Under Which It Does Business</w:t>
            </w:r>
          </w:p>
        </w:tc>
        <w:tc>
          <w:tcPr>
            <w:tcW w:w="1240" w:type="dxa"/>
            <w:vAlign w:val="bottom"/>
            <w:tcBorders>
              <w:bottom w:val="single" w:sz="8" w:color="00000A"/>
              <w:right w:val="single" w:sz="8" w:color="00000A"/>
            </w:tcBorders>
            <w:shd w:val="clear" w:color="auto" w:fill="E6E6E6"/>
          </w:tcPr>
          <w:p>
            <w:pPr>
              <w:spacing w:after="0"/>
              <w:rPr>
                <w:sz w:val="19"/>
                <w:szCs w:val="19"/>
                <w:color w:val="auto"/>
              </w:rPr>
            </w:pPr>
          </w:p>
        </w:tc>
        <w:tc>
          <w:tcPr>
            <w:tcW w:w="5540" w:type="dxa"/>
            <w:vAlign w:val="bottom"/>
            <w:tcBorders>
              <w:bottom w:val="single" w:sz="8" w:color="00000A"/>
            </w:tcBorders>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1035 Line Company</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3330472 Nova Scotia Company</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CAH Corporation</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Argentina S.A.</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Argentina</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Company of Canada</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EU Investment Company</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Finance 2 Corp.</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Foodservice Company</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Pennsylvania</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Hong Kong Limited</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International Holdings Inc.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Investment Company</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Jin Bao Tang, Inc.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MFG 1 Company</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Sales Company</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Soup Asia Limited</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Soup Dominicana, S.A.</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Dominican Republic</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Soup Supply Company L.L.C.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Swire (HK) Ltd</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Swire (Xiamen) Co Ltd</w:t>
            </w:r>
          </w:p>
        </w:tc>
        <w:tc>
          <w:tcPr>
            <w:tcW w:w="1240" w:type="dxa"/>
            <w:vAlign w:val="bottom"/>
            <w:tcBorders>
              <w:right w:val="single" w:sz="8" w:color="00000A"/>
            </w:tcBorders>
            <w:shd w:val="clear" w:color="auto" w:fill="CCEEFF"/>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China</w:t>
            </w:r>
          </w:p>
        </w:tc>
        <w:tc>
          <w:tcPr>
            <w:tcW w:w="0" w:type="dxa"/>
            <w:vAlign w:val="bottom"/>
          </w:tcPr>
          <w:p>
            <w:pPr>
              <w:spacing w:after="0"/>
              <w:rPr>
                <w:sz w:val="1"/>
                <w:szCs w:val="1"/>
                <w:color w:val="auto"/>
              </w:rPr>
            </w:pPr>
          </w:p>
        </w:tc>
      </w:tr>
      <w:tr>
        <w:trPr>
          <w:trHeight w:val="219"/>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Campbell U.S. Holdings, Inc.</w:t>
            </w:r>
          </w:p>
        </w:tc>
        <w:tc>
          <w:tcPr>
            <w:tcW w:w="1240" w:type="dxa"/>
            <w:vAlign w:val="bottom"/>
            <w:tcBorders>
              <w:bottom w:val="single" w:sz="8" w:color="auto"/>
              <w:right w:val="single" w:sz="8" w:color="00000A"/>
            </w:tcBorders>
          </w:tcPr>
          <w:p>
            <w:pPr>
              <w:spacing w:after="0"/>
              <w:rPr>
                <w:sz w:val="19"/>
                <w:szCs w:val="19"/>
                <w:color w:val="auto"/>
              </w:rPr>
            </w:pP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Urban Renewal Corporation</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Campbell’s de Mexico S.A. de C. V.</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CANEB L.L.C.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CanFin Holdings Inc.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CIRT Urban Renewal Corp.</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Comercializadora Campbell de Guatemala, Limitada</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Guatemala</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CSC Brands LP</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CS Foods, LLC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Missouri</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CSC Insights, Inc.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CSC Standards, Inc.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DFKA Ltd.</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EDS Investments, LLC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Joseph Campbell Company</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Pacific Foods Investments, Inc.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Pacific Foods of Oregon, LLC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Oregon</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Pepperidge Farm, Incorporated</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Connecticut</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Snyder's-Lance, Inc.</w:t>
            </w:r>
          </w:p>
        </w:tc>
        <w:tc>
          <w:tcPr>
            <w:tcW w:w="1240" w:type="dxa"/>
            <w:vAlign w:val="bottom"/>
            <w:tcBorders>
              <w:right w:val="single" w:sz="8" w:color="00000A"/>
            </w:tcBorders>
            <w:shd w:val="clear" w:color="auto" w:fill="CCEEFF"/>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North Carolina</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The foregoing does not constitute a complete list of all subsidiaries of the registrant. Any subsidiaries that have been omitted do not, if considered in the aggregate as a single subsidiary, constitute a “Significant Subsidiary” as defined by the SEC.</w:t>
      </w:r>
    </w:p>
    <w:p>
      <w:pPr>
        <w:sectPr>
          <w:pgSz w:w="11900" w:h="16838" w:orient="portrait"/>
          <w:cols w:equalWidth="0" w:num="1">
            <w:col w:w="11240"/>
          </w:cols>
          <w:pgMar w:left="320" w:top="853"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7"/>
          <w:szCs w:val="17"/>
          <w:b w:val="1"/>
          <w:bCs w:val="1"/>
          <w:color w:val="auto"/>
        </w:rPr>
        <w:t>EXHIBIT 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CONSENT OF INDEPENDENT REGISTERED PUBLIC ACCOUNTING FIRM</w:t>
      </w:r>
    </w:p>
    <w:p>
      <w:pPr>
        <w:spacing w:after="0" w:line="200" w:lineRule="exact"/>
        <w:rPr>
          <w:sz w:val="20"/>
          <w:szCs w:val="20"/>
          <w:color w:val="auto"/>
        </w:rPr>
      </w:pPr>
    </w:p>
    <w:p>
      <w:pPr>
        <w:spacing w:after="0" w:line="2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S-3 (No. 333-249174) and Form S-8 (Nos. 333-216582, 333-208441, 333-173583, 333-173582, 333-160381, 333-157850, 333-134675, 333-22803, 333-00729 and 33-59797) of Campbell Soup Company of our report dated September 22, 2022 relating to the financial statements and financial statement schedule and the effectiveness of internal control over financial reporting, which appears in this Form 10-K.</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6822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2">
                      <a:extLst>
                        <a:ext uri="{28A0092B-C50C-407E-A947-70E740481C1C}"/>
                      </a:extLst>
                    </a:blip>
                    <a:srcRect/>
                    <a:stretch>
                      <a:fillRect/>
                    </a:stretch>
                  </pic:blipFill>
                  <pic:spPr bwMode="auto">
                    <a:xfrm>
                      <a:off x="0" y="0"/>
                      <a:ext cx="2682240" cy="825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PricewaterhouseCoopers LLP</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Philadelphia, Pennsylvania</w:t>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September 22, 2022</w:t>
      </w:r>
    </w:p>
    <w:p>
      <w:pPr>
        <w:sectPr>
          <w:pgSz w:w="11900" w:h="16838" w:orient="portrait"/>
          <w:cols w:equalWidth="0" w:num="1">
            <w:col w:w="11240"/>
          </w:cols>
          <w:pgMar w:left="320" w:top="1149"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9"/>
          <w:szCs w:val="19"/>
          <w:b w:val="1"/>
          <w:bCs w:val="1"/>
          <w:color w:val="auto"/>
        </w:rPr>
        <w:t>EXHIBIT 24</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08" w:lineRule="exact"/>
        <w:rPr>
          <w:sz w:val="20"/>
          <w:szCs w:val="20"/>
          <w:color w:val="auto"/>
        </w:rPr>
      </w:pPr>
    </w:p>
    <w:p>
      <w:pPr>
        <w:jc w:val="both"/>
        <w:ind w:firstLine="618"/>
        <w:spacing w:after="0" w:line="230" w:lineRule="auto"/>
        <w:rPr>
          <w:sz w:val="20"/>
          <w:szCs w:val="20"/>
          <w:color w:val="auto"/>
        </w:rPr>
      </w:pPr>
      <w:r>
        <w:rPr>
          <w:rFonts w:ascii="Times New Roman" w:cs="Times New Roman" w:eastAsia="Times New Roman" w:hAnsi="Times New Roman"/>
          <w:sz w:val="21"/>
          <w:szCs w:val="21"/>
          <w:color w:val="auto"/>
        </w:rPr>
        <w:t>The undersigned, a director of Campbell Soup Company, a New Jersey corporation, hereby constitutes and appoints each of Adam G. Ciongoli and Charles A. Brawley, III, together and separately, as her true and lawful attorneys-in-fact and agents, with full power of substitution and revocation, in his name, place and stead, in any and all capacities, to execute Campbell Soup Company’s Annual Report on Form 10-K for the fiscal year ended July 31, 2022,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she might or could do in person, hereby ratifying and confirming all that said attorneys-in-fact and agents may lawfully do or cause to be done by virtue hereof.</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executed this Power of Attorney this 8th day of September, 2022.</w:t>
      </w:r>
    </w:p>
    <w:p>
      <w:pPr>
        <w:spacing w:after="0" w:line="21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1"/>
          <w:szCs w:val="21"/>
          <w:color w:val="auto"/>
        </w:rPr>
        <w:t>__</w:t>
      </w:r>
      <w:r>
        <w:rPr>
          <w:rFonts w:ascii="Times New Roman" w:cs="Times New Roman" w:eastAsia="Times New Roman" w:hAnsi="Times New Roman"/>
          <w:sz w:val="21"/>
          <w:szCs w:val="21"/>
          <w:u w:val="single" w:color="auto"/>
          <w:color w:val="auto"/>
        </w:rPr>
        <w:t>/s/ Fabiola R. Arredondo</w:t>
      </w:r>
      <w:r>
        <w:rPr>
          <w:rFonts w:ascii="Times New Roman" w:cs="Times New Roman" w:eastAsia="Times New Roman" w:hAnsi="Times New Roman"/>
          <w:sz w:val="21"/>
          <w:szCs w:val="21"/>
          <w:color w:val="auto"/>
        </w:rPr>
        <w:t>_____</w:t>
      </w:r>
    </w:p>
    <w:p>
      <w:pPr>
        <w:spacing w:after="0" w:line="229" w:lineRule="auto"/>
        <w:rPr>
          <w:sz w:val="20"/>
          <w:szCs w:val="20"/>
          <w:color w:val="auto"/>
        </w:rPr>
      </w:pPr>
      <w:r>
        <w:rPr>
          <w:rFonts w:ascii="Times New Roman" w:cs="Times New Roman" w:eastAsia="Times New Roman" w:hAnsi="Times New Roman"/>
          <w:sz w:val="21"/>
          <w:szCs w:val="21"/>
          <w:color w:val="auto"/>
        </w:rPr>
        <w:t>Fabiola R. Arredondo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08" w:lineRule="exact"/>
        <w:rPr>
          <w:sz w:val="20"/>
          <w:szCs w:val="20"/>
          <w:color w:val="auto"/>
        </w:rPr>
      </w:pPr>
    </w:p>
    <w:p>
      <w:pPr>
        <w:jc w:val="both"/>
        <w:ind w:firstLine="618"/>
        <w:spacing w:after="0" w:line="230" w:lineRule="auto"/>
        <w:rPr>
          <w:sz w:val="20"/>
          <w:szCs w:val="20"/>
          <w:color w:val="auto"/>
        </w:rPr>
      </w:pPr>
      <w:r>
        <w:rPr>
          <w:rFonts w:ascii="Times New Roman" w:cs="Times New Roman" w:eastAsia="Times New Roman" w:hAnsi="Times New Roman"/>
          <w:sz w:val="21"/>
          <w:szCs w:val="21"/>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July 31, 2022,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executed this Power of Attorney this 8th day of September, 2022.</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Howard M Averill</w:t>
      </w:r>
    </w:p>
    <w:p>
      <w:pPr>
        <w:spacing w:after="0" w:line="217" w:lineRule="auto"/>
        <w:rPr>
          <w:sz w:val="20"/>
          <w:szCs w:val="20"/>
          <w:color w:val="auto"/>
        </w:rPr>
      </w:pPr>
      <w:r>
        <w:rPr>
          <w:rFonts w:ascii="Times New Roman" w:cs="Times New Roman" w:eastAsia="Times New Roman" w:hAnsi="Times New Roman"/>
          <w:sz w:val="21"/>
          <w:szCs w:val="21"/>
          <w:color w:val="auto"/>
        </w:rPr>
        <w:t>Howard M. Averill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ectPr>
          <w:pgSz w:w="11900" w:h="16838" w:orient="portrait"/>
          <w:cols w:equalWidth="0" w:num="1">
            <w:col w:w="11240"/>
          </w:cols>
          <w:pgMar w:left="320" w:top="1351" w:right="339"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08" w:lineRule="exact"/>
        <w:rPr>
          <w:sz w:val="20"/>
          <w:szCs w:val="20"/>
          <w:color w:val="auto"/>
        </w:rPr>
      </w:pPr>
    </w:p>
    <w:p>
      <w:pPr>
        <w:jc w:val="both"/>
        <w:ind w:firstLine="618"/>
        <w:spacing w:after="0" w:line="230" w:lineRule="auto"/>
        <w:rPr>
          <w:sz w:val="20"/>
          <w:szCs w:val="20"/>
          <w:color w:val="auto"/>
        </w:rPr>
      </w:pPr>
      <w:r>
        <w:rPr>
          <w:rFonts w:ascii="Times New Roman" w:cs="Times New Roman" w:eastAsia="Times New Roman" w:hAnsi="Times New Roman"/>
          <w:sz w:val="21"/>
          <w:szCs w:val="21"/>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July 31, 2022,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executed this Power of Attorney this 7th day of September, 2022.</w:t>
      </w:r>
    </w:p>
    <w:p>
      <w:pPr>
        <w:spacing w:after="0" w:line="222" w:lineRule="auto"/>
        <w:rPr>
          <w:sz w:val="20"/>
          <w:szCs w:val="20"/>
          <w:color w:val="auto"/>
        </w:rPr>
      </w:pPr>
      <w:r>
        <w:rPr>
          <w:rFonts w:ascii="Times New Roman" w:cs="Times New Roman" w:eastAsia="Times New Roman" w:hAnsi="Times New Roman"/>
          <w:sz w:val="21"/>
          <w:szCs w:val="21"/>
          <w:color w:val="auto"/>
        </w:rPr>
        <w:t>__</w:t>
      </w:r>
      <w:r>
        <w:rPr>
          <w:rFonts w:ascii="Times New Roman" w:cs="Times New Roman" w:eastAsia="Times New Roman" w:hAnsi="Times New Roman"/>
          <w:sz w:val="21"/>
          <w:szCs w:val="21"/>
          <w:u w:val="single" w:color="auto"/>
          <w:color w:val="auto"/>
        </w:rPr>
        <w:t>/s/ John P. Bilbrey</w:t>
      </w:r>
      <w:r>
        <w:rPr>
          <w:rFonts w:ascii="Times New Roman" w:cs="Times New Roman" w:eastAsia="Times New Roman" w:hAnsi="Times New Roman"/>
          <w:sz w:val="21"/>
          <w:szCs w:val="21"/>
          <w:color w:val="auto"/>
        </w:rPr>
        <w:t>_____</w:t>
      </w:r>
    </w:p>
    <w:p>
      <w:pPr>
        <w:spacing w:after="0" w:line="218" w:lineRule="auto"/>
        <w:rPr>
          <w:sz w:val="20"/>
          <w:szCs w:val="20"/>
          <w:color w:val="auto"/>
        </w:rPr>
      </w:pPr>
      <w:r>
        <w:rPr>
          <w:rFonts w:ascii="Times New Roman" w:cs="Times New Roman" w:eastAsia="Times New Roman" w:hAnsi="Times New Roman"/>
          <w:sz w:val="21"/>
          <w:szCs w:val="21"/>
          <w:color w:val="auto"/>
        </w:rPr>
        <w:t>John P. Bilbrey</w:t>
      </w:r>
    </w:p>
    <w:p>
      <w:pPr>
        <w:spacing w:after="0"/>
        <w:rPr>
          <w:sz w:val="20"/>
          <w:szCs w:val="20"/>
          <w:color w:val="auto"/>
        </w:rPr>
      </w:pPr>
      <w:r>
        <w:rPr>
          <w:rFonts w:ascii="Times New Roman" w:cs="Times New Roman" w:eastAsia="Times New Roman" w:hAnsi="Times New Roman"/>
          <w:sz w:val="21"/>
          <w:szCs w:val="21"/>
          <w:color w:val="auto"/>
        </w:rPr>
        <w:t>Director</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08" w:lineRule="exact"/>
        <w:rPr>
          <w:sz w:val="20"/>
          <w:szCs w:val="20"/>
          <w:color w:val="auto"/>
        </w:rPr>
      </w:pPr>
    </w:p>
    <w:p>
      <w:pPr>
        <w:jc w:val="both"/>
        <w:ind w:firstLine="618"/>
        <w:spacing w:after="0" w:line="230" w:lineRule="auto"/>
        <w:rPr>
          <w:sz w:val="20"/>
          <w:szCs w:val="20"/>
          <w:color w:val="auto"/>
        </w:rPr>
      </w:pPr>
      <w:r>
        <w:rPr>
          <w:rFonts w:ascii="Times New Roman" w:cs="Times New Roman" w:eastAsia="Times New Roman" w:hAnsi="Times New Roman"/>
          <w:sz w:val="21"/>
          <w:szCs w:val="21"/>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July 31, 2022,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executed this Power of Attorney this 8th day of September, 2022.</w:t>
      </w:r>
    </w:p>
    <w:p>
      <w:pPr>
        <w:spacing w:after="0" w:line="222" w:lineRule="auto"/>
        <w:rPr>
          <w:sz w:val="20"/>
          <w:szCs w:val="20"/>
          <w:color w:val="auto"/>
        </w:rPr>
      </w:pPr>
      <w:r>
        <w:rPr>
          <w:rFonts w:ascii="Times New Roman" w:cs="Times New Roman" w:eastAsia="Times New Roman" w:hAnsi="Times New Roman"/>
          <w:sz w:val="21"/>
          <w:szCs w:val="21"/>
          <w:color w:val="auto"/>
        </w:rPr>
        <w:t>__</w:t>
      </w:r>
      <w:r>
        <w:rPr>
          <w:rFonts w:ascii="Times New Roman" w:cs="Times New Roman" w:eastAsia="Times New Roman" w:hAnsi="Times New Roman"/>
          <w:sz w:val="21"/>
          <w:szCs w:val="21"/>
          <w:u w:val="single" w:color="auto"/>
          <w:color w:val="auto"/>
        </w:rPr>
        <w:t>/s/ Bennett Dorrance, Jr.</w:t>
      </w:r>
      <w:r>
        <w:rPr>
          <w:rFonts w:ascii="Times New Roman" w:cs="Times New Roman" w:eastAsia="Times New Roman" w:hAnsi="Times New Roman"/>
          <w:sz w:val="21"/>
          <w:szCs w:val="21"/>
          <w:color w:val="auto"/>
        </w:rPr>
        <w:t>_____</w:t>
      </w:r>
    </w:p>
    <w:p>
      <w:pPr>
        <w:spacing w:after="0" w:line="218" w:lineRule="auto"/>
        <w:rPr>
          <w:sz w:val="20"/>
          <w:szCs w:val="20"/>
          <w:color w:val="auto"/>
        </w:rPr>
      </w:pPr>
      <w:r>
        <w:rPr>
          <w:rFonts w:ascii="Times New Roman" w:cs="Times New Roman" w:eastAsia="Times New Roman" w:hAnsi="Times New Roman"/>
          <w:sz w:val="21"/>
          <w:szCs w:val="21"/>
          <w:color w:val="auto"/>
        </w:rPr>
        <w:t>Bennett Dorrance, Jr.</w:t>
      </w:r>
    </w:p>
    <w:p>
      <w:pPr>
        <w:spacing w:after="0"/>
        <w:rPr>
          <w:sz w:val="20"/>
          <w:szCs w:val="20"/>
          <w:color w:val="auto"/>
        </w:rPr>
      </w:pPr>
      <w:r>
        <w:rPr>
          <w:rFonts w:ascii="Times New Roman" w:cs="Times New Roman" w:eastAsia="Times New Roman" w:hAnsi="Times New Roman"/>
          <w:sz w:val="21"/>
          <w:szCs w:val="21"/>
          <w:color w:val="auto"/>
        </w:rPr>
        <w:t>Director</w:t>
      </w:r>
    </w:p>
    <w:p>
      <w:pPr>
        <w:sectPr>
          <w:pgSz w:w="11900" w:h="16838" w:orient="portrait"/>
          <w:cols w:equalWidth="0" w:num="1">
            <w:col w:w="11240"/>
          </w:cols>
          <w:pgMar w:left="320" w:top="1440" w:right="339" w:bottom="1440" w:gutter="0" w:footer="0" w:header="0"/>
        </w:sectPr>
      </w:pPr>
    </w:p>
    <w:bookmarkStart w:id="88" w:name="page89"/>
    <w:bookmarkEnd w:id="88"/>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08" w:lineRule="exact"/>
        <w:rPr>
          <w:sz w:val="20"/>
          <w:szCs w:val="20"/>
          <w:color w:val="auto"/>
        </w:rPr>
      </w:pPr>
    </w:p>
    <w:p>
      <w:pPr>
        <w:jc w:val="both"/>
        <w:ind w:firstLine="618"/>
        <w:spacing w:after="0" w:line="230" w:lineRule="auto"/>
        <w:rPr>
          <w:sz w:val="20"/>
          <w:szCs w:val="20"/>
          <w:color w:val="auto"/>
        </w:rPr>
      </w:pPr>
      <w:r>
        <w:rPr>
          <w:rFonts w:ascii="Times New Roman" w:cs="Times New Roman" w:eastAsia="Times New Roman" w:hAnsi="Times New Roman"/>
          <w:sz w:val="21"/>
          <w:szCs w:val="21"/>
          <w:color w:val="auto"/>
        </w:rPr>
        <w:t>The undersigned, a director of Campbell Soup Company, a New Jersey corporation, hereby constitutes and appoints each of Adam G. Ciongoli and Charles A. Brawley, III, together and separately, as her true and lawful attorneys-in-fact and agents, with full power of substitution and revocation, in his name, place and stead, in any and all capacities, to execute Campbell Soup Company’s Annual Report on Form 10-K for the fiscal year ended July 31, 2022,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she might or could do in person, hereby ratifying and confirming all that said attorneys-in-fact and agents may lawfully do or cause to be done by virtue hereof.</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executed this Power of Attorney this 7th day of September, 2022.</w:t>
      </w:r>
    </w:p>
    <w:p>
      <w:pPr>
        <w:spacing w:after="0" w:line="222" w:lineRule="auto"/>
        <w:rPr>
          <w:sz w:val="20"/>
          <w:szCs w:val="20"/>
          <w:color w:val="auto"/>
        </w:rPr>
      </w:pPr>
      <w:r>
        <w:rPr>
          <w:rFonts w:ascii="Times New Roman" w:cs="Times New Roman" w:eastAsia="Times New Roman" w:hAnsi="Times New Roman"/>
          <w:sz w:val="21"/>
          <w:szCs w:val="21"/>
          <w:color w:val="auto"/>
        </w:rPr>
        <w:t>__</w:t>
      </w:r>
      <w:r>
        <w:rPr>
          <w:rFonts w:ascii="Times New Roman" w:cs="Times New Roman" w:eastAsia="Times New Roman" w:hAnsi="Times New Roman"/>
          <w:sz w:val="21"/>
          <w:szCs w:val="21"/>
          <w:u w:val="single" w:color="auto"/>
          <w:color w:val="auto"/>
        </w:rPr>
        <w:t>/s/ Maria Teresa Hilado</w:t>
      </w:r>
      <w:r>
        <w:rPr>
          <w:rFonts w:ascii="Times New Roman" w:cs="Times New Roman" w:eastAsia="Times New Roman" w:hAnsi="Times New Roman"/>
          <w:sz w:val="21"/>
          <w:szCs w:val="21"/>
          <w:color w:val="auto"/>
        </w:rPr>
        <w:t>_____</w:t>
      </w:r>
    </w:p>
    <w:p>
      <w:pPr>
        <w:spacing w:after="0" w:line="218" w:lineRule="auto"/>
        <w:rPr>
          <w:sz w:val="20"/>
          <w:szCs w:val="20"/>
          <w:color w:val="auto"/>
        </w:rPr>
      </w:pPr>
      <w:r>
        <w:rPr>
          <w:rFonts w:ascii="Times New Roman" w:cs="Times New Roman" w:eastAsia="Times New Roman" w:hAnsi="Times New Roman"/>
          <w:sz w:val="21"/>
          <w:szCs w:val="21"/>
          <w:color w:val="auto"/>
        </w:rPr>
        <w:t>Maria Teresa Hilado</w:t>
      </w:r>
    </w:p>
    <w:p>
      <w:pPr>
        <w:spacing w:after="0" w:line="227" w:lineRule="auto"/>
        <w:rPr>
          <w:sz w:val="20"/>
          <w:szCs w:val="20"/>
          <w:color w:val="auto"/>
        </w:rPr>
      </w:pPr>
      <w:r>
        <w:rPr>
          <w:rFonts w:ascii="Times New Roman" w:cs="Times New Roman" w:eastAsia="Times New Roman" w:hAnsi="Times New Roman"/>
          <w:sz w:val="21"/>
          <w:szCs w:val="21"/>
          <w:color w:val="auto"/>
        </w:rPr>
        <w:t>Director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08" w:lineRule="exact"/>
        <w:rPr>
          <w:sz w:val="20"/>
          <w:szCs w:val="20"/>
          <w:color w:val="auto"/>
        </w:rPr>
      </w:pPr>
    </w:p>
    <w:p>
      <w:pPr>
        <w:jc w:val="both"/>
        <w:ind w:firstLine="618"/>
        <w:spacing w:after="0" w:line="230" w:lineRule="auto"/>
        <w:rPr>
          <w:sz w:val="20"/>
          <w:szCs w:val="20"/>
          <w:color w:val="auto"/>
        </w:rPr>
      </w:pPr>
      <w:r>
        <w:rPr>
          <w:rFonts w:ascii="Times New Roman" w:cs="Times New Roman" w:eastAsia="Times New Roman" w:hAnsi="Times New Roman"/>
          <w:sz w:val="21"/>
          <w:szCs w:val="21"/>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July 31, 2022,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executed this Power of Attorney this 8th day of September, 2022.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w:t>
      </w:r>
      <w:r>
        <w:rPr>
          <w:rFonts w:ascii="Times New Roman" w:cs="Times New Roman" w:eastAsia="Times New Roman" w:hAnsi="Times New Roman"/>
          <w:sz w:val="21"/>
          <w:szCs w:val="21"/>
          <w:u w:val="single" w:color="auto"/>
          <w:color w:val="auto"/>
        </w:rPr>
        <w:t>/s/ Grant H. Hill</w:t>
      </w:r>
      <w:r>
        <w:rPr>
          <w:rFonts w:ascii="Times New Roman" w:cs="Times New Roman" w:eastAsia="Times New Roman" w:hAnsi="Times New Roman"/>
          <w:sz w:val="21"/>
          <w:szCs w:val="21"/>
          <w:color w:val="auto"/>
        </w:rPr>
        <w:t>_____</w:t>
      </w:r>
    </w:p>
    <w:p>
      <w:pPr>
        <w:spacing w:after="0" w:line="211" w:lineRule="auto"/>
        <w:rPr>
          <w:sz w:val="20"/>
          <w:szCs w:val="20"/>
          <w:color w:val="auto"/>
        </w:rPr>
      </w:pPr>
      <w:r>
        <w:rPr>
          <w:rFonts w:ascii="Times New Roman" w:cs="Times New Roman" w:eastAsia="Times New Roman" w:hAnsi="Times New Roman"/>
          <w:sz w:val="19"/>
          <w:szCs w:val="19"/>
          <w:color w:val="auto"/>
        </w:rPr>
        <w:t>Grant H. Hill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ectPr>
          <w:pgSz w:w="11900" w:h="16838" w:orient="portrait"/>
          <w:cols w:equalWidth="0" w:num="1">
            <w:col w:w="11240"/>
          </w:cols>
          <w:pgMar w:left="320" w:top="1440" w:right="339" w:bottom="1440" w:gutter="0" w:footer="0" w:header="0"/>
        </w:sectPr>
      </w:pPr>
    </w:p>
    <w:bookmarkStart w:id="89" w:name="page90"/>
    <w:bookmarkEnd w:id="89"/>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08" w:lineRule="exact"/>
        <w:rPr>
          <w:sz w:val="20"/>
          <w:szCs w:val="20"/>
          <w:color w:val="auto"/>
        </w:rPr>
      </w:pPr>
    </w:p>
    <w:p>
      <w:pPr>
        <w:jc w:val="both"/>
        <w:ind w:firstLine="618"/>
        <w:spacing w:after="0" w:line="230" w:lineRule="auto"/>
        <w:rPr>
          <w:sz w:val="20"/>
          <w:szCs w:val="20"/>
          <w:color w:val="auto"/>
        </w:rPr>
      </w:pPr>
      <w:r>
        <w:rPr>
          <w:rFonts w:ascii="Times New Roman" w:cs="Times New Roman" w:eastAsia="Times New Roman" w:hAnsi="Times New Roman"/>
          <w:sz w:val="21"/>
          <w:szCs w:val="21"/>
          <w:color w:val="auto"/>
        </w:rPr>
        <w:t>The undersigned, a director of Campbell Soup Company, a New Jersey corporation, hereby constitutes and appoints each of Adam G. Ciongoli and Charles A. Brawley, III, together and separately, as her true and lawful attorneys-in-fact and agents, with full power of substitution and revocation, in his name, place and stead, in any and all capacities, to execute Campbell Soup Company’s Annual Report on Form 10-K for the fiscal year ended July 31, 2022,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she might or could do in person, hereby ratifying and confirming all that said attorneys-in-fact and agents may lawfully do or cause to be done by virtue hereof.</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executed this Power of Attorney this 7th day of September, 2022.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w:t>
      </w:r>
      <w:r>
        <w:rPr>
          <w:rFonts w:ascii="Times New Roman" w:cs="Times New Roman" w:eastAsia="Times New Roman" w:hAnsi="Times New Roman"/>
          <w:sz w:val="21"/>
          <w:szCs w:val="21"/>
          <w:u w:val="single" w:color="auto"/>
          <w:color w:val="auto"/>
        </w:rPr>
        <w:t>/s/ Sarah Hofstetter</w:t>
      </w:r>
      <w:r>
        <w:rPr>
          <w:rFonts w:ascii="Times New Roman" w:cs="Times New Roman" w:eastAsia="Times New Roman" w:hAnsi="Times New Roman"/>
          <w:sz w:val="21"/>
          <w:szCs w:val="21"/>
          <w:color w:val="auto"/>
        </w:rPr>
        <w:t>_____</w:t>
      </w:r>
    </w:p>
    <w:p>
      <w:pPr>
        <w:spacing w:after="0" w:line="217" w:lineRule="auto"/>
        <w:rPr>
          <w:sz w:val="20"/>
          <w:szCs w:val="20"/>
          <w:color w:val="auto"/>
        </w:rPr>
      </w:pPr>
      <w:r>
        <w:rPr>
          <w:rFonts w:ascii="Times New Roman" w:cs="Times New Roman" w:eastAsia="Times New Roman" w:hAnsi="Times New Roman"/>
          <w:sz w:val="21"/>
          <w:szCs w:val="21"/>
          <w:color w:val="auto"/>
        </w:rPr>
        <w:t>Sarah Hofstetter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08" w:lineRule="exact"/>
        <w:rPr>
          <w:sz w:val="20"/>
          <w:szCs w:val="20"/>
          <w:color w:val="auto"/>
        </w:rPr>
      </w:pPr>
    </w:p>
    <w:p>
      <w:pPr>
        <w:jc w:val="both"/>
        <w:ind w:firstLine="618"/>
        <w:spacing w:after="0" w:line="230" w:lineRule="auto"/>
        <w:rPr>
          <w:sz w:val="20"/>
          <w:szCs w:val="20"/>
          <w:color w:val="auto"/>
        </w:rPr>
      </w:pPr>
      <w:r>
        <w:rPr>
          <w:rFonts w:ascii="Times New Roman" w:cs="Times New Roman" w:eastAsia="Times New Roman" w:hAnsi="Times New Roman"/>
          <w:sz w:val="21"/>
          <w:szCs w:val="21"/>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July 31, 2022,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executed this Power of Attorney this 13th day of September, 2022.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w:t>
      </w:r>
      <w:r>
        <w:rPr>
          <w:rFonts w:ascii="Times New Roman" w:cs="Times New Roman" w:eastAsia="Times New Roman" w:hAnsi="Times New Roman"/>
          <w:sz w:val="21"/>
          <w:szCs w:val="21"/>
          <w:u w:val="single" w:color="auto"/>
          <w:color w:val="auto"/>
        </w:rPr>
        <w:t>/s/ Marc B. Lautenbach</w:t>
      </w:r>
      <w:r>
        <w:rPr>
          <w:rFonts w:ascii="Times New Roman" w:cs="Times New Roman" w:eastAsia="Times New Roman" w:hAnsi="Times New Roman"/>
          <w:sz w:val="21"/>
          <w:szCs w:val="21"/>
          <w:color w:val="auto"/>
        </w:rPr>
        <w:t>_____</w:t>
      </w:r>
    </w:p>
    <w:p>
      <w:pPr>
        <w:spacing w:after="0" w:line="217" w:lineRule="auto"/>
        <w:rPr>
          <w:sz w:val="20"/>
          <w:szCs w:val="20"/>
          <w:color w:val="auto"/>
        </w:rPr>
      </w:pPr>
      <w:r>
        <w:rPr>
          <w:rFonts w:ascii="Times New Roman" w:cs="Times New Roman" w:eastAsia="Times New Roman" w:hAnsi="Times New Roman"/>
          <w:sz w:val="21"/>
          <w:szCs w:val="21"/>
          <w:color w:val="auto"/>
        </w:rPr>
        <w:t>Marc B. Lautenbach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08" w:lineRule="exact"/>
        <w:rPr>
          <w:sz w:val="20"/>
          <w:szCs w:val="20"/>
          <w:color w:val="auto"/>
        </w:rPr>
      </w:pPr>
    </w:p>
    <w:p>
      <w:pPr>
        <w:jc w:val="both"/>
        <w:ind w:firstLine="618"/>
        <w:spacing w:after="0" w:line="230" w:lineRule="auto"/>
        <w:rPr>
          <w:sz w:val="20"/>
          <w:szCs w:val="20"/>
          <w:color w:val="auto"/>
        </w:rPr>
      </w:pPr>
      <w:r>
        <w:rPr>
          <w:rFonts w:ascii="Times New Roman" w:cs="Times New Roman" w:eastAsia="Times New Roman" w:hAnsi="Times New Roman"/>
          <w:sz w:val="21"/>
          <w:szCs w:val="21"/>
          <w:color w:val="auto"/>
        </w:rPr>
        <w:t>The undersigned, a director of Campbell Soup Company, a New Jersey corporation, hereby constitutes and appoints each of Adam G. Ciongoli and Charles A. Brawley, III, together and separately, as her true and lawful attorneys-in-fact and agents, with full power of substitution and revocation, in his name, place and stead, in any and all capacities, to execute Campbell Soup Company’s Annual Report on Form 10-K for the fiscal year ended July 31, 2022,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she might or could do in person, hereby ratifying and confirming all that said attorneys-in-fact and agents may lawfully do or cause to be done by virtue hereof.</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executed this Power of Attorney this 7th day of September, 2022.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w:t>
      </w:r>
      <w:r>
        <w:rPr>
          <w:rFonts w:ascii="Times New Roman" w:cs="Times New Roman" w:eastAsia="Times New Roman" w:hAnsi="Times New Roman"/>
          <w:sz w:val="21"/>
          <w:szCs w:val="21"/>
          <w:u w:val="single" w:color="auto"/>
          <w:color w:val="auto"/>
        </w:rPr>
        <w:t>/s/ Mary Alice Malone</w:t>
      </w:r>
      <w:r>
        <w:rPr>
          <w:rFonts w:ascii="Times New Roman" w:cs="Times New Roman" w:eastAsia="Times New Roman" w:hAnsi="Times New Roman"/>
          <w:sz w:val="21"/>
          <w:szCs w:val="21"/>
          <w:color w:val="auto"/>
        </w:rPr>
        <w:t>_____</w:t>
      </w:r>
    </w:p>
    <w:p>
      <w:pPr>
        <w:spacing w:after="0" w:line="217" w:lineRule="auto"/>
        <w:rPr>
          <w:sz w:val="20"/>
          <w:szCs w:val="20"/>
          <w:color w:val="auto"/>
        </w:rPr>
      </w:pPr>
      <w:r>
        <w:rPr>
          <w:rFonts w:ascii="Times New Roman" w:cs="Times New Roman" w:eastAsia="Times New Roman" w:hAnsi="Times New Roman"/>
          <w:sz w:val="21"/>
          <w:szCs w:val="21"/>
          <w:color w:val="auto"/>
        </w:rPr>
        <w:t>Mary Alice Malone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08" w:lineRule="exact"/>
        <w:rPr>
          <w:sz w:val="20"/>
          <w:szCs w:val="20"/>
          <w:color w:val="auto"/>
        </w:rPr>
      </w:pPr>
    </w:p>
    <w:p>
      <w:pPr>
        <w:jc w:val="both"/>
        <w:ind w:firstLine="618"/>
        <w:spacing w:after="0" w:line="230" w:lineRule="auto"/>
        <w:rPr>
          <w:sz w:val="20"/>
          <w:szCs w:val="20"/>
          <w:color w:val="auto"/>
        </w:rPr>
      </w:pPr>
      <w:r>
        <w:rPr>
          <w:rFonts w:ascii="Times New Roman" w:cs="Times New Roman" w:eastAsia="Times New Roman" w:hAnsi="Times New Roman"/>
          <w:sz w:val="21"/>
          <w:szCs w:val="21"/>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July 31, 2022,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executed this Power of Attorney this 8th day of September, 2022.</w:t>
      </w:r>
    </w:p>
    <w:p>
      <w:pPr>
        <w:spacing w:after="0" w:line="222" w:lineRule="auto"/>
        <w:rPr>
          <w:sz w:val="20"/>
          <w:szCs w:val="20"/>
          <w:color w:val="auto"/>
        </w:rPr>
      </w:pPr>
      <w:r>
        <w:rPr>
          <w:rFonts w:ascii="Times New Roman" w:cs="Times New Roman" w:eastAsia="Times New Roman" w:hAnsi="Times New Roman"/>
          <w:sz w:val="21"/>
          <w:szCs w:val="21"/>
          <w:color w:val="auto"/>
        </w:rPr>
        <w:t>__</w:t>
      </w:r>
      <w:r>
        <w:rPr>
          <w:rFonts w:ascii="Times New Roman" w:cs="Times New Roman" w:eastAsia="Times New Roman" w:hAnsi="Times New Roman"/>
          <w:sz w:val="21"/>
          <w:szCs w:val="21"/>
          <w:u w:val="single" w:color="auto"/>
          <w:color w:val="auto"/>
        </w:rPr>
        <w:t>/s/ Keith R. McLoughlin</w:t>
      </w:r>
      <w:r>
        <w:rPr>
          <w:rFonts w:ascii="Times New Roman" w:cs="Times New Roman" w:eastAsia="Times New Roman" w:hAnsi="Times New Roman"/>
          <w:sz w:val="21"/>
          <w:szCs w:val="21"/>
          <w:color w:val="auto"/>
        </w:rPr>
        <w:t>_____</w:t>
      </w:r>
    </w:p>
    <w:p>
      <w:pPr>
        <w:spacing w:after="0" w:line="218" w:lineRule="auto"/>
        <w:rPr>
          <w:sz w:val="20"/>
          <w:szCs w:val="20"/>
          <w:color w:val="auto"/>
        </w:rPr>
      </w:pPr>
      <w:r>
        <w:rPr>
          <w:rFonts w:ascii="Times New Roman" w:cs="Times New Roman" w:eastAsia="Times New Roman" w:hAnsi="Times New Roman"/>
          <w:sz w:val="21"/>
          <w:szCs w:val="21"/>
          <w:color w:val="auto"/>
        </w:rPr>
        <w:t>Keith R. McLoughin</w:t>
      </w:r>
    </w:p>
    <w:p>
      <w:pPr>
        <w:spacing w:after="0"/>
        <w:rPr>
          <w:sz w:val="20"/>
          <w:szCs w:val="20"/>
          <w:color w:val="auto"/>
        </w:rPr>
      </w:pPr>
      <w:r>
        <w:rPr>
          <w:rFonts w:ascii="Times New Roman" w:cs="Times New Roman" w:eastAsia="Times New Roman" w:hAnsi="Times New Roman"/>
          <w:sz w:val="21"/>
          <w:szCs w:val="21"/>
          <w:color w:val="auto"/>
        </w:rPr>
        <w:t>Director</w:t>
      </w:r>
    </w:p>
    <w:p>
      <w:pPr>
        <w:sectPr>
          <w:pgSz w:w="11900" w:h="16838" w:orient="portrait"/>
          <w:cols w:equalWidth="0" w:num="1">
            <w:col w:w="11240"/>
          </w:cols>
          <w:pgMar w:left="320" w:top="1440" w:right="339" w:bottom="1440" w:gutter="0" w:footer="0" w:header="0"/>
        </w:sectPr>
      </w:pPr>
    </w:p>
    <w:bookmarkStart w:id="91" w:name="page92"/>
    <w:bookmarkEnd w:id="91"/>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08" w:lineRule="exact"/>
        <w:rPr>
          <w:sz w:val="20"/>
          <w:szCs w:val="20"/>
          <w:color w:val="auto"/>
        </w:rPr>
      </w:pPr>
    </w:p>
    <w:p>
      <w:pPr>
        <w:jc w:val="both"/>
        <w:ind w:firstLine="618"/>
        <w:spacing w:after="0" w:line="227" w:lineRule="auto"/>
        <w:rPr>
          <w:sz w:val="20"/>
          <w:szCs w:val="20"/>
          <w:color w:val="auto"/>
        </w:rPr>
      </w:pPr>
      <w:r>
        <w:rPr>
          <w:rFonts w:ascii="Times New Roman" w:cs="Times New Roman" w:eastAsia="Times New Roman" w:hAnsi="Times New Roman"/>
          <w:sz w:val="21"/>
          <w:szCs w:val="21"/>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July 31, 2022,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executed this Power of Attorney this 7th day of September,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w:t>
      </w:r>
      <w:r>
        <w:rPr>
          <w:rFonts w:ascii="Times New Roman" w:cs="Times New Roman" w:eastAsia="Times New Roman" w:hAnsi="Times New Roman"/>
          <w:sz w:val="21"/>
          <w:szCs w:val="21"/>
          <w:u w:val="single" w:color="auto"/>
          <w:color w:val="auto"/>
        </w:rPr>
        <w:t>/s/ Kurt T. Schmidt</w:t>
      </w:r>
      <w:r>
        <w:rPr>
          <w:rFonts w:ascii="Times New Roman" w:cs="Times New Roman" w:eastAsia="Times New Roman" w:hAnsi="Times New Roman"/>
          <w:sz w:val="21"/>
          <w:szCs w:val="21"/>
          <w:color w:val="auto"/>
        </w:rPr>
        <w:t>_____</w:t>
      </w:r>
    </w:p>
    <w:p>
      <w:pPr>
        <w:spacing w:after="0" w:line="217" w:lineRule="auto"/>
        <w:rPr>
          <w:sz w:val="20"/>
          <w:szCs w:val="20"/>
          <w:color w:val="auto"/>
        </w:rPr>
      </w:pPr>
      <w:r>
        <w:rPr>
          <w:rFonts w:ascii="Times New Roman" w:cs="Times New Roman" w:eastAsia="Times New Roman" w:hAnsi="Times New Roman"/>
          <w:sz w:val="21"/>
          <w:szCs w:val="21"/>
          <w:color w:val="auto"/>
        </w:rPr>
        <w:t>Kurt T. Schmidt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08" w:lineRule="exact"/>
        <w:rPr>
          <w:sz w:val="20"/>
          <w:szCs w:val="20"/>
          <w:color w:val="auto"/>
        </w:rPr>
      </w:pPr>
    </w:p>
    <w:p>
      <w:pPr>
        <w:jc w:val="both"/>
        <w:ind w:firstLine="618"/>
        <w:spacing w:after="0" w:line="230" w:lineRule="auto"/>
        <w:rPr>
          <w:sz w:val="20"/>
          <w:szCs w:val="20"/>
          <w:color w:val="auto"/>
        </w:rPr>
      </w:pPr>
      <w:r>
        <w:rPr>
          <w:rFonts w:ascii="Times New Roman" w:cs="Times New Roman" w:eastAsia="Times New Roman" w:hAnsi="Times New Roman"/>
          <w:sz w:val="21"/>
          <w:szCs w:val="21"/>
          <w:color w:val="auto"/>
        </w:rPr>
        <w:t>The undersigned, a director of Campbell Soup Company, a New Jersey corporation, hereby constitutes and appoints each of Adam G. Ciongoli and Charles A. Brawley, III, together and separately, as his true and lawful attorneys-in-fact and agents, with full power of substitution and revocation, in his name, place and stead, in any and all capacities, to execute Campbell Soup Company’s Annual Report on Form 10-K for the fiscal year ended July 31, 2022,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executed this Power of Attorney this 8th day of September, 2022.</w:t>
      </w:r>
    </w:p>
    <w:p>
      <w:pPr>
        <w:ind w:left="620"/>
        <w:spacing w:after="0" w:line="235" w:lineRule="auto"/>
        <w:rPr>
          <w:sz w:val="20"/>
          <w:szCs w:val="20"/>
          <w:color w:val="auto"/>
        </w:rPr>
      </w:pPr>
      <w:r>
        <w:rPr>
          <w:rFonts w:ascii="Times New Roman" w:cs="Times New Roman" w:eastAsia="Times New Roman" w:hAnsi="Times New Roman"/>
          <w:sz w:val="21"/>
          <w:szCs w:val="21"/>
          <w:color w:val="auto"/>
        </w:rPr>
        <w:t>__</w:t>
      </w:r>
      <w:r>
        <w:rPr>
          <w:rFonts w:ascii="Times New Roman" w:cs="Times New Roman" w:eastAsia="Times New Roman" w:hAnsi="Times New Roman"/>
          <w:sz w:val="21"/>
          <w:szCs w:val="21"/>
          <w:u w:val="single" w:color="auto"/>
          <w:color w:val="auto"/>
        </w:rPr>
        <w:t>/s/ Archbold D. van Beuren</w:t>
      </w:r>
      <w:r>
        <w:rPr>
          <w:rFonts w:ascii="Times New Roman" w:cs="Times New Roman" w:eastAsia="Times New Roman" w:hAnsi="Times New Roman"/>
          <w:sz w:val="21"/>
          <w:szCs w:val="21"/>
          <w:color w:val="auto"/>
        </w:rPr>
        <w:t>_____</w:t>
      </w:r>
    </w:p>
    <w:p>
      <w:pPr>
        <w:spacing w:after="0" w:line="217" w:lineRule="auto"/>
        <w:rPr>
          <w:sz w:val="20"/>
          <w:szCs w:val="20"/>
          <w:color w:val="auto"/>
        </w:rPr>
      </w:pPr>
      <w:r>
        <w:rPr>
          <w:rFonts w:ascii="Times New Roman" w:cs="Times New Roman" w:eastAsia="Times New Roman" w:hAnsi="Times New Roman"/>
          <w:sz w:val="21"/>
          <w:szCs w:val="21"/>
          <w:color w:val="auto"/>
        </w:rPr>
        <w:t>Archbold D. van Beuren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ectPr>
          <w:pgSz w:w="11900" w:h="16838" w:orient="portrait"/>
          <w:cols w:equalWidth="0" w:num="1">
            <w:col w:w="11240"/>
          </w:cols>
          <w:pgMar w:left="320" w:top="1440"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7"/>
          <w:szCs w:val="17"/>
          <w:b w:val="1"/>
          <w:bCs w:val="1"/>
          <w:color w:val="auto"/>
        </w:rPr>
        <w:t>EXHIBIT 31(a)</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RULE 13a-14(a)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Mark A. Clouse, certify that:</w:t>
      </w:r>
    </w:p>
    <w:p>
      <w:pPr>
        <w:spacing w:after="0" w:line="165" w:lineRule="exact"/>
        <w:rPr>
          <w:sz w:val="20"/>
          <w:szCs w:val="20"/>
          <w:color w:val="auto"/>
        </w:rPr>
      </w:pPr>
    </w:p>
    <w:p>
      <w:pPr>
        <w:ind w:left="360" w:hanging="164"/>
        <w:spacing w:after="0"/>
        <w:tabs>
          <w:tab w:leader="none" w:pos="3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Campbell Soup Company;</w:t>
      </w:r>
    </w:p>
    <w:p>
      <w:pPr>
        <w:spacing w:after="0" w:line="165" w:lineRule="exact"/>
        <w:rPr>
          <w:rFonts w:ascii="Times New Roman" w:cs="Times New Roman" w:eastAsia="Times New Roman" w:hAnsi="Times New Roman"/>
          <w:sz w:val="17"/>
          <w:szCs w:val="17"/>
          <w:color w:val="auto"/>
        </w:rPr>
      </w:pPr>
    </w:p>
    <w:p>
      <w:pPr>
        <w:ind w:right="120" w:firstLine="196"/>
        <w:spacing w:after="0" w:line="286" w:lineRule="auto"/>
        <w:tabs>
          <w:tab w:leader="none" w:pos="36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7"/>
          <w:szCs w:val="17"/>
          <w:color w:val="auto"/>
        </w:rPr>
      </w:pPr>
    </w:p>
    <w:p>
      <w:pPr>
        <w:ind w:right="220" w:firstLine="196"/>
        <w:spacing w:after="0" w:line="286" w:lineRule="auto"/>
        <w:tabs>
          <w:tab w:leader="none" w:pos="36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rFonts w:ascii="Times New Roman" w:cs="Times New Roman" w:eastAsia="Times New Roman" w:hAnsi="Times New Roman"/>
          <w:sz w:val="17"/>
          <w:szCs w:val="17"/>
          <w:color w:val="auto"/>
        </w:rPr>
      </w:pPr>
    </w:p>
    <w:p>
      <w:pPr>
        <w:ind w:right="80" w:firstLine="196"/>
        <w:spacing w:after="0" w:line="269" w:lineRule="auto"/>
        <w:tabs>
          <w:tab w:leader="none" w:pos="362"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Times New Roman" w:cs="Times New Roman" w:eastAsia="Times New Roman" w:hAnsi="Times New Roman"/>
          <w:sz w:val="17"/>
          <w:szCs w:val="17"/>
          <w:color w:val="auto"/>
        </w:rPr>
      </w:pPr>
    </w:p>
    <w:p>
      <w:pPr>
        <w:ind w:right="140" w:firstLine="428"/>
        <w:spacing w:after="0" w:line="269" w:lineRule="auto"/>
        <w:tabs>
          <w:tab w:leader="none" w:pos="601"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Times New Roman" w:cs="Times New Roman" w:eastAsia="Times New Roman" w:hAnsi="Times New Roman"/>
          <w:sz w:val="17"/>
          <w:szCs w:val="17"/>
          <w:color w:val="auto"/>
        </w:rPr>
      </w:pPr>
    </w:p>
    <w:p>
      <w:pPr>
        <w:jc w:val="both"/>
        <w:ind w:right="260" w:firstLine="428"/>
        <w:spacing w:after="0" w:line="269" w:lineRule="auto"/>
        <w:tabs>
          <w:tab w:leader="none" w:pos="611"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Times New Roman" w:cs="Times New Roman" w:eastAsia="Times New Roman" w:hAnsi="Times New Roman"/>
          <w:sz w:val="17"/>
          <w:szCs w:val="17"/>
          <w:color w:val="auto"/>
        </w:rPr>
      </w:pPr>
    </w:p>
    <w:p>
      <w:pPr>
        <w:ind w:right="40" w:firstLine="428"/>
        <w:spacing w:after="0" w:line="286" w:lineRule="auto"/>
        <w:tabs>
          <w:tab w:leader="none" w:pos="601"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Times New Roman" w:cs="Times New Roman" w:eastAsia="Times New Roman" w:hAnsi="Times New Roman"/>
          <w:sz w:val="17"/>
          <w:szCs w:val="17"/>
          <w:color w:val="auto"/>
        </w:rPr>
      </w:pPr>
    </w:p>
    <w:p>
      <w:pPr>
        <w:ind w:right="100" w:firstLine="428"/>
        <w:spacing w:after="0" w:line="269" w:lineRule="auto"/>
        <w:tabs>
          <w:tab w:leader="none" w:pos="611"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Times New Roman" w:cs="Times New Roman" w:eastAsia="Times New Roman" w:hAnsi="Times New Roman"/>
          <w:sz w:val="17"/>
          <w:szCs w:val="17"/>
          <w:color w:val="auto"/>
        </w:rPr>
      </w:pPr>
    </w:p>
    <w:p>
      <w:pPr>
        <w:ind w:right="600" w:firstLine="196"/>
        <w:spacing w:after="0" w:line="286" w:lineRule="auto"/>
        <w:tabs>
          <w:tab w:leader="none" w:pos="362"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Times New Roman" w:cs="Times New Roman" w:eastAsia="Times New Roman" w:hAnsi="Times New Roman"/>
          <w:sz w:val="17"/>
          <w:szCs w:val="17"/>
          <w:color w:val="auto"/>
        </w:rPr>
      </w:pPr>
    </w:p>
    <w:p>
      <w:pPr>
        <w:ind w:right="240" w:firstLine="428"/>
        <w:spacing w:after="0" w:line="286" w:lineRule="auto"/>
        <w:tabs>
          <w:tab w:leader="none" w:pos="601"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0" w:lineRule="exact"/>
        <w:rPr>
          <w:rFonts w:ascii="Times New Roman" w:cs="Times New Roman" w:eastAsia="Times New Roman" w:hAnsi="Times New Roman"/>
          <w:sz w:val="17"/>
          <w:szCs w:val="17"/>
          <w:color w:val="auto"/>
        </w:rPr>
      </w:pPr>
    </w:p>
    <w:p>
      <w:pPr>
        <w:ind w:right="460" w:firstLine="428"/>
        <w:spacing w:after="0" w:line="286" w:lineRule="auto"/>
        <w:tabs>
          <w:tab w:leader="none" w:pos="611"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September 22, 2022</w:t>
      </w:r>
    </w:p>
    <w:p>
      <w:pPr>
        <w:spacing w:after="0" w:line="49" w:lineRule="exact"/>
        <w:rPr>
          <w:sz w:val="20"/>
          <w:szCs w:val="20"/>
          <w:color w:val="auto"/>
        </w:rPr>
      </w:pPr>
    </w:p>
    <w:p>
      <w:pPr>
        <w:ind w:left="4200"/>
        <w:spacing w:after="0"/>
        <w:tabs>
          <w:tab w:leader="none" w:pos="4640" w:val="left"/>
        </w:tabs>
        <w:rPr>
          <w:sz w:val="20"/>
          <w:szCs w:val="20"/>
          <w:color w:val="auto"/>
        </w:rPr>
      </w:pPr>
      <w:r>
        <w:rPr>
          <w:rFonts w:ascii="Times New Roman" w:cs="Times New Roman" w:eastAsia="Times New Roman" w:hAnsi="Times New Roman"/>
          <w:sz w:val="17"/>
          <w:szCs w:val="17"/>
          <w:color w:val="auto"/>
        </w:rPr>
        <w:t>By:</w:t>
        <w:tab/>
        <w:t>/s/ Mark A. Clouse</w:t>
      </w:r>
    </w:p>
    <w:p>
      <w:pPr>
        <w:spacing w:after="0" w:line="27" w:lineRule="exact"/>
        <w:rPr>
          <w:sz w:val="20"/>
          <w:szCs w:val="20"/>
          <w:color w:val="auto"/>
        </w:rPr>
      </w:pPr>
    </w:p>
    <w:tbl>
      <w:tblPr>
        <w:tblLayout w:type="fixed"/>
        <w:tblInd w:w="4640" w:type="dxa"/>
        <w:tblCellMar>
          <w:top w:w="0" w:type="dxa"/>
          <w:left w:w="0" w:type="dxa"/>
          <w:bottom w:w="0" w:type="dxa"/>
          <w:right w:w="0" w:type="dxa"/>
        </w:tblCellMar>
      </w:tblPr>
      <w:tr>
        <w:trPr>
          <w:trHeight w:val="208"/>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3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Mark A. Clouse</w:t>
            </w:r>
          </w:p>
        </w:tc>
      </w:tr>
      <w:tr>
        <w:trPr>
          <w:trHeight w:val="223"/>
        </w:trPr>
        <w:tc>
          <w:tcPr>
            <w:tcW w:w="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ectPr>
          <w:pgSz w:w="11900" w:h="16838" w:orient="portrait"/>
          <w:cols w:equalWidth="0" w:num="1">
            <w:col w:w="11240"/>
          </w:cols>
          <w:pgMar w:left="320" w:top="853"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7"/>
          <w:szCs w:val="17"/>
          <w:b w:val="1"/>
          <w:bCs w:val="1"/>
          <w:color w:val="auto"/>
        </w:rPr>
        <w:t>EXHIBIT 31(b)</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RULE 13a-14(a)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Mick J. Beekhuizen, certify that:</w:t>
      </w:r>
    </w:p>
    <w:p>
      <w:pPr>
        <w:spacing w:after="0" w:line="165" w:lineRule="exact"/>
        <w:rPr>
          <w:sz w:val="20"/>
          <w:szCs w:val="20"/>
          <w:color w:val="auto"/>
        </w:rPr>
      </w:pPr>
    </w:p>
    <w:p>
      <w:pPr>
        <w:ind w:left="360" w:hanging="164"/>
        <w:spacing w:after="0"/>
        <w:tabs>
          <w:tab w:leader="none" w:pos="36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Campbell Soup Company;</w:t>
      </w:r>
    </w:p>
    <w:p>
      <w:pPr>
        <w:spacing w:after="0" w:line="165" w:lineRule="exact"/>
        <w:rPr>
          <w:rFonts w:ascii="Times New Roman" w:cs="Times New Roman" w:eastAsia="Times New Roman" w:hAnsi="Times New Roman"/>
          <w:sz w:val="17"/>
          <w:szCs w:val="17"/>
          <w:color w:val="auto"/>
        </w:rPr>
      </w:pPr>
    </w:p>
    <w:p>
      <w:pPr>
        <w:ind w:right="120" w:firstLine="196"/>
        <w:spacing w:after="0" w:line="286" w:lineRule="auto"/>
        <w:tabs>
          <w:tab w:leader="none" w:pos="36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7"/>
          <w:szCs w:val="17"/>
          <w:color w:val="auto"/>
        </w:rPr>
      </w:pPr>
    </w:p>
    <w:p>
      <w:pPr>
        <w:ind w:right="220" w:firstLine="196"/>
        <w:spacing w:after="0" w:line="286" w:lineRule="auto"/>
        <w:tabs>
          <w:tab w:leader="none" w:pos="36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rFonts w:ascii="Times New Roman" w:cs="Times New Roman" w:eastAsia="Times New Roman" w:hAnsi="Times New Roman"/>
          <w:sz w:val="17"/>
          <w:szCs w:val="17"/>
          <w:color w:val="auto"/>
        </w:rPr>
      </w:pPr>
    </w:p>
    <w:p>
      <w:pPr>
        <w:ind w:right="80" w:firstLine="196"/>
        <w:spacing w:after="0" w:line="269" w:lineRule="auto"/>
        <w:tabs>
          <w:tab w:leader="none" w:pos="362"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Times New Roman" w:cs="Times New Roman" w:eastAsia="Times New Roman" w:hAnsi="Times New Roman"/>
          <w:sz w:val="17"/>
          <w:szCs w:val="17"/>
          <w:color w:val="auto"/>
        </w:rPr>
      </w:pPr>
    </w:p>
    <w:p>
      <w:pPr>
        <w:ind w:right="140" w:firstLine="428"/>
        <w:spacing w:after="0" w:line="269" w:lineRule="auto"/>
        <w:tabs>
          <w:tab w:leader="none" w:pos="601"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Times New Roman" w:cs="Times New Roman" w:eastAsia="Times New Roman" w:hAnsi="Times New Roman"/>
          <w:sz w:val="17"/>
          <w:szCs w:val="17"/>
          <w:color w:val="auto"/>
        </w:rPr>
      </w:pPr>
    </w:p>
    <w:p>
      <w:pPr>
        <w:jc w:val="both"/>
        <w:ind w:right="260" w:firstLine="428"/>
        <w:spacing w:after="0" w:line="269" w:lineRule="auto"/>
        <w:tabs>
          <w:tab w:leader="none" w:pos="611"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Times New Roman" w:cs="Times New Roman" w:eastAsia="Times New Roman" w:hAnsi="Times New Roman"/>
          <w:sz w:val="17"/>
          <w:szCs w:val="17"/>
          <w:color w:val="auto"/>
        </w:rPr>
      </w:pPr>
    </w:p>
    <w:p>
      <w:pPr>
        <w:ind w:right="40" w:firstLine="428"/>
        <w:spacing w:after="0" w:line="286" w:lineRule="auto"/>
        <w:tabs>
          <w:tab w:leader="none" w:pos="601"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Times New Roman" w:cs="Times New Roman" w:eastAsia="Times New Roman" w:hAnsi="Times New Roman"/>
          <w:sz w:val="17"/>
          <w:szCs w:val="17"/>
          <w:color w:val="auto"/>
        </w:rPr>
      </w:pPr>
    </w:p>
    <w:p>
      <w:pPr>
        <w:ind w:right="100" w:firstLine="428"/>
        <w:spacing w:after="0" w:line="269" w:lineRule="auto"/>
        <w:tabs>
          <w:tab w:leader="none" w:pos="611"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Times New Roman" w:cs="Times New Roman" w:eastAsia="Times New Roman" w:hAnsi="Times New Roman"/>
          <w:sz w:val="17"/>
          <w:szCs w:val="17"/>
          <w:color w:val="auto"/>
        </w:rPr>
      </w:pPr>
    </w:p>
    <w:p>
      <w:pPr>
        <w:ind w:right="600" w:firstLine="196"/>
        <w:spacing w:after="0" w:line="286" w:lineRule="auto"/>
        <w:tabs>
          <w:tab w:leader="none" w:pos="362"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Times New Roman" w:cs="Times New Roman" w:eastAsia="Times New Roman" w:hAnsi="Times New Roman"/>
          <w:sz w:val="17"/>
          <w:szCs w:val="17"/>
          <w:color w:val="auto"/>
        </w:rPr>
      </w:pPr>
    </w:p>
    <w:p>
      <w:pPr>
        <w:ind w:right="240" w:firstLine="428"/>
        <w:spacing w:after="0" w:line="286" w:lineRule="auto"/>
        <w:tabs>
          <w:tab w:leader="none" w:pos="601"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0" w:lineRule="exact"/>
        <w:rPr>
          <w:rFonts w:ascii="Times New Roman" w:cs="Times New Roman" w:eastAsia="Times New Roman" w:hAnsi="Times New Roman"/>
          <w:sz w:val="17"/>
          <w:szCs w:val="17"/>
          <w:color w:val="auto"/>
        </w:rPr>
      </w:pPr>
    </w:p>
    <w:p>
      <w:pPr>
        <w:ind w:right="460" w:firstLine="428"/>
        <w:spacing w:after="0" w:line="286" w:lineRule="auto"/>
        <w:tabs>
          <w:tab w:leader="none" w:pos="611"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September 22, 2022</w:t>
      </w:r>
    </w:p>
    <w:p>
      <w:pPr>
        <w:spacing w:after="0" w:line="204"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7"/>
          <w:szCs w:val="17"/>
          <w:color w:val="auto"/>
        </w:rPr>
        <w:t>By:</w:t>
        <w:tab/>
        <w:t>/s/ Mick J. Beekhuizen</w:t>
      </w:r>
    </w:p>
    <w:p>
      <w:pPr>
        <w:spacing w:after="0" w:line="27" w:lineRule="exact"/>
        <w:rPr>
          <w:sz w:val="20"/>
          <w:szCs w:val="20"/>
          <w:color w:val="auto"/>
        </w:rPr>
      </w:pPr>
    </w:p>
    <w:tbl>
      <w:tblPr>
        <w:tblLayout w:type="fixed"/>
        <w:tblInd w:w="4580" w:type="dxa"/>
        <w:tblCellMar>
          <w:top w:w="0" w:type="dxa"/>
          <w:left w:w="0" w:type="dxa"/>
          <w:bottom w:w="0" w:type="dxa"/>
          <w:right w:w="0" w:type="dxa"/>
        </w:tblCellMar>
      </w:tblPr>
      <w:tr>
        <w:trPr>
          <w:trHeight w:val="208"/>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3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Mick J. Beekhuizen</w:t>
            </w:r>
          </w:p>
        </w:tc>
      </w:tr>
      <w:tr>
        <w:trPr>
          <w:trHeight w:val="219"/>
        </w:trPr>
        <w:tc>
          <w:tcPr>
            <w:tcW w:w="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Executive Vice President and Chief Financial</w:t>
            </w:r>
          </w:p>
        </w:tc>
      </w:tr>
      <w:tr>
        <w:trPr>
          <w:trHeight w:val="223"/>
        </w:trPr>
        <w:tc>
          <w:tcPr>
            <w:tcW w:w="660" w:type="dxa"/>
            <w:vAlign w:val="bottom"/>
          </w:tcPr>
          <w:p>
            <w:pPr>
              <w:spacing w:after="0"/>
              <w:rPr>
                <w:sz w:val="19"/>
                <w:szCs w:val="19"/>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Officer</w:t>
            </w:r>
          </w:p>
        </w:tc>
      </w:tr>
    </w:tbl>
    <w:p>
      <w:pPr>
        <w:sectPr>
          <w:pgSz w:w="11900" w:h="16838" w:orient="portrait"/>
          <w:cols w:equalWidth="0" w:num="1">
            <w:col w:w="11240"/>
          </w:cols>
          <w:pgMar w:left="320" w:top="853"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7"/>
          <w:szCs w:val="17"/>
          <w:b w:val="1"/>
          <w:bCs w:val="1"/>
          <w:color w:val="auto"/>
        </w:rPr>
        <w:t>EXHIBIT 32(a)</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8" w:lineRule="exact"/>
        <w:rPr>
          <w:sz w:val="20"/>
          <w:szCs w:val="20"/>
          <w:color w:val="auto"/>
        </w:rPr>
      </w:pPr>
    </w:p>
    <w:p>
      <w:pPr>
        <w:ind w:right="80" w:firstLine="193"/>
        <w:spacing w:after="0" w:line="269" w:lineRule="auto"/>
        <w:rPr>
          <w:sz w:val="20"/>
          <w:szCs w:val="20"/>
          <w:color w:val="auto"/>
        </w:rPr>
      </w:pPr>
      <w:r>
        <w:rPr>
          <w:rFonts w:ascii="Times New Roman" w:cs="Times New Roman" w:eastAsia="Times New Roman" w:hAnsi="Times New Roman"/>
          <w:sz w:val="17"/>
          <w:szCs w:val="17"/>
          <w:color w:val="auto"/>
        </w:rPr>
        <w:t>In connection with the Annual Report of Campbell Soup Company (the “Company”) on Form 10-K for the fiscal year ended July 31, 2022 (the “Report”), I, Mark A. Clouse, President and Chief Executive Officer of the Company, hereby certify, pursuant to 18 U.S.C. Section 1350, as adopted pursuant to Section 906 of the Sarbanes-Oxley Act of 2002, that, to my knowledge:</w:t>
      </w:r>
    </w:p>
    <w:p>
      <w:pPr>
        <w:spacing w:after="0" w:line="115" w:lineRule="exact"/>
        <w:rPr>
          <w:sz w:val="20"/>
          <w:szCs w:val="20"/>
          <w:color w:val="auto"/>
        </w:rPr>
      </w:pPr>
    </w:p>
    <w:p>
      <w:pPr>
        <w:ind w:left="660" w:hanging="232"/>
        <w:spacing w:after="0"/>
        <w:tabs>
          <w:tab w:leader="none" w:pos="6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65" w:lineRule="exact"/>
        <w:rPr>
          <w:rFonts w:ascii="Times New Roman" w:cs="Times New Roman" w:eastAsia="Times New Roman" w:hAnsi="Times New Roman"/>
          <w:sz w:val="17"/>
          <w:szCs w:val="17"/>
          <w:color w:val="auto"/>
        </w:rPr>
      </w:pPr>
    </w:p>
    <w:p>
      <w:pPr>
        <w:ind w:right="620" w:firstLine="428"/>
        <w:spacing w:after="0" w:line="466" w:lineRule="auto"/>
        <w:tabs>
          <w:tab w:leader="none" w:pos="66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Date: September 22, 2022</w:t>
      </w:r>
    </w:p>
    <w:p>
      <w:pPr>
        <w:spacing w:after="0" w:line="1"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7"/>
          <w:szCs w:val="17"/>
          <w:color w:val="auto"/>
        </w:rPr>
        <w:t>By:</w:t>
        <w:tab/>
        <w:t>/s/ Mark A. Clouse</w:t>
      </w:r>
    </w:p>
    <w:p>
      <w:pPr>
        <w:spacing w:after="0" w:line="27" w:lineRule="exact"/>
        <w:rPr>
          <w:sz w:val="20"/>
          <w:szCs w:val="20"/>
          <w:color w:val="auto"/>
        </w:rPr>
      </w:pPr>
    </w:p>
    <w:tbl>
      <w:tblPr>
        <w:tblLayout w:type="fixed"/>
        <w:tblInd w:w="4580" w:type="dxa"/>
        <w:tblCellMar>
          <w:top w:w="0" w:type="dxa"/>
          <w:left w:w="0" w:type="dxa"/>
          <w:bottom w:w="0" w:type="dxa"/>
          <w:right w:w="0" w:type="dxa"/>
        </w:tblCellMar>
      </w:tblPr>
      <w:tr>
        <w:trPr>
          <w:trHeight w:val="208"/>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3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Mark A. Clouse</w:t>
            </w:r>
          </w:p>
        </w:tc>
      </w:tr>
      <w:tr>
        <w:trPr>
          <w:trHeight w:val="223"/>
        </w:trPr>
        <w:tc>
          <w:tcPr>
            <w:tcW w:w="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7"/>
          <w:szCs w:val="17"/>
          <w:color w:val="auto"/>
        </w:rPr>
        <w:t>The foregoing certification is being furnished solely pursuant to 18 U.S.C. Section 1350 and is not being filed as part of the Report or as a separate disclosure document.</w:t>
      </w:r>
    </w:p>
    <w:p>
      <w:pPr>
        <w:spacing w:after="0" w:line="10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7"/>
          <w:szCs w:val="17"/>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53"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7"/>
          <w:szCs w:val="17"/>
          <w:b w:val="1"/>
          <w:bCs w:val="1"/>
          <w:color w:val="auto"/>
        </w:rPr>
        <w:t>EXHIBIT 32(b)</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8" w:lineRule="exact"/>
        <w:rPr>
          <w:sz w:val="20"/>
          <w:szCs w:val="20"/>
          <w:color w:val="auto"/>
        </w:rPr>
      </w:pPr>
    </w:p>
    <w:p>
      <w:pPr>
        <w:ind w:right="300" w:firstLine="193"/>
        <w:spacing w:after="0" w:line="269" w:lineRule="auto"/>
        <w:rPr>
          <w:sz w:val="20"/>
          <w:szCs w:val="20"/>
          <w:color w:val="auto"/>
        </w:rPr>
      </w:pPr>
      <w:r>
        <w:rPr>
          <w:rFonts w:ascii="Times New Roman" w:cs="Times New Roman" w:eastAsia="Times New Roman" w:hAnsi="Times New Roman"/>
          <w:sz w:val="17"/>
          <w:szCs w:val="17"/>
          <w:color w:val="auto"/>
        </w:rPr>
        <w:t>In connection with the Annual Report of Campbell Soup Company (the “Company”) on Form 10-K for the fiscal year ended July 31, 2022 (the “Report”), I, Mick J. Beekhuizen, Executive Vice President and Chief Financial Officer of the Company, hereby certify, pursuant to 18 U.S.C. Section 1350, as adopted pursuant to Section 906 of the Sarbanes-Oxley Act of 2002, that, to my knowledge:</w:t>
      </w:r>
    </w:p>
    <w:p>
      <w:pPr>
        <w:spacing w:after="0" w:line="115" w:lineRule="exact"/>
        <w:rPr>
          <w:sz w:val="20"/>
          <w:szCs w:val="20"/>
          <w:color w:val="auto"/>
        </w:rPr>
      </w:pPr>
    </w:p>
    <w:p>
      <w:pPr>
        <w:ind w:left="660" w:hanging="232"/>
        <w:spacing w:after="0"/>
        <w:tabs>
          <w:tab w:leader="none" w:pos="6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65" w:lineRule="exact"/>
        <w:rPr>
          <w:rFonts w:ascii="Times New Roman" w:cs="Times New Roman" w:eastAsia="Times New Roman" w:hAnsi="Times New Roman"/>
          <w:sz w:val="17"/>
          <w:szCs w:val="17"/>
          <w:color w:val="auto"/>
        </w:rPr>
      </w:pPr>
    </w:p>
    <w:p>
      <w:pPr>
        <w:ind w:left="660" w:hanging="232"/>
        <w:spacing w:after="0"/>
        <w:tabs>
          <w:tab w:leader="none" w:pos="6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September 22, 2022</w:t>
      </w:r>
    </w:p>
    <w:p>
      <w:pPr>
        <w:spacing w:after="0" w:line="49"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7"/>
          <w:szCs w:val="17"/>
          <w:color w:val="auto"/>
        </w:rPr>
        <w:t>By:</w:t>
        <w:tab/>
        <w:t>/s/ Mick J. Beekhuizen</w:t>
      </w:r>
    </w:p>
    <w:p>
      <w:pPr>
        <w:spacing w:after="0" w:line="27" w:lineRule="exact"/>
        <w:rPr>
          <w:sz w:val="20"/>
          <w:szCs w:val="20"/>
          <w:color w:val="auto"/>
        </w:rPr>
      </w:pPr>
    </w:p>
    <w:tbl>
      <w:tblPr>
        <w:tblLayout w:type="fixed"/>
        <w:tblInd w:w="4580" w:type="dxa"/>
        <w:tblCellMar>
          <w:top w:w="0" w:type="dxa"/>
          <w:left w:w="0" w:type="dxa"/>
          <w:bottom w:w="0" w:type="dxa"/>
          <w:right w:w="0" w:type="dxa"/>
        </w:tblCellMar>
      </w:tblPr>
      <w:tr>
        <w:trPr>
          <w:trHeight w:val="208"/>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3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Mick J. Beekhuizen</w:t>
            </w:r>
          </w:p>
        </w:tc>
      </w:tr>
      <w:tr>
        <w:trPr>
          <w:trHeight w:val="219"/>
        </w:trPr>
        <w:tc>
          <w:tcPr>
            <w:tcW w:w="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Executive Vice President and Chief Financial</w:t>
            </w:r>
          </w:p>
        </w:tc>
      </w:tr>
      <w:tr>
        <w:trPr>
          <w:trHeight w:val="223"/>
        </w:trPr>
        <w:tc>
          <w:tcPr>
            <w:tcW w:w="660" w:type="dxa"/>
            <w:vAlign w:val="bottom"/>
          </w:tcPr>
          <w:p>
            <w:pPr>
              <w:spacing w:after="0"/>
              <w:rPr>
                <w:sz w:val="19"/>
                <w:szCs w:val="19"/>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Officer</w:t>
            </w:r>
          </w:p>
        </w:tc>
      </w:tr>
    </w:tbl>
    <w:p>
      <w:pPr>
        <w:spacing w:after="0" w:line="200" w:lineRule="exact"/>
        <w:rPr>
          <w:sz w:val="20"/>
          <w:szCs w:val="20"/>
          <w:color w:val="auto"/>
        </w:rPr>
      </w:pPr>
    </w:p>
    <w:p>
      <w:pPr>
        <w:spacing w:after="0" w:line="26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7"/>
          <w:szCs w:val="17"/>
          <w:color w:val="auto"/>
        </w:rPr>
        <w:t>The foregoing certification is being furnished solely pursuant to 18 U.S.C. Section 1350 and is not being filed as part of the Report or as a separate disclosure document.</w:t>
      </w:r>
    </w:p>
    <w:p>
      <w:pPr>
        <w:spacing w:after="0" w:line="10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7"/>
          <w:szCs w:val="17"/>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1"/>
      <w:numFmt w:val="decimal"/>
      <w:start w:val="55"/>
    </w:lvl>
  </w:abstractNum>
  <w:abstractNum w:abstractNumId="8">
    <w:nsid w:val="3855585C"/>
    <w:multiLevelType w:val="hybridMultilevel"/>
    <w:lvl w:ilvl="0">
      <w:lvlJc w:val="left"/>
      <w:lvlText w:val="%1"/>
      <w:numFmt w:val="decimal"/>
      <w:start w:val="55"/>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1)"/>
      <w:numFmt w:val="decimal"/>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1)"/>
      <w:numFmt w:val="decimal"/>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1)"/>
      <w:numFmt w:val="decimal"/>
      <w:start w:val="1"/>
    </w:lvl>
  </w:abstractNum>
  <w:abstractNum w:abstractNumId="18">
    <w:nsid w:val="542289EC"/>
    <w:multiLevelType w:val="hybridMultilevel"/>
    <w:lvl w:ilvl="0">
      <w:lvlJc w:val="left"/>
      <w:lvlText w:val="(%1)"/>
      <w:numFmt w:val="decimal"/>
      <w:start w:val="1"/>
    </w:lvl>
  </w:abstractNum>
  <w:abstractNum w:abstractNumId="19">
    <w:nsid w:val="6DE91B18"/>
    <w:multiLevelType w:val="hybridMultilevel"/>
    <w:lvl w:ilvl="0">
      <w:lvlJc w:val="left"/>
      <w:lvlText w:val="(%1)"/>
      <w:numFmt w:val="decimal"/>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1)"/>
      <w:numFmt w:val="decimal"/>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1)"/>
      <w:numFmt w:val="decimal"/>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1."/>
      <w:numFmt w:val="decimal"/>
      <w:start w:val="2"/>
    </w:lvl>
  </w:abstractNum>
  <w:abstractNum w:abstractNumId="36">
    <w:nsid w:val="649BB77C"/>
    <w:multiLevelType w:val="hybridMultilevel"/>
    <w:lvl w:ilvl="0">
      <w:lvlJc w:val="left"/>
      <w:lvlText w:val="%1."/>
      <w:numFmt w:val="decimal"/>
      <w:start w:val="3"/>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1)"/>
      <w:numFmt w:val="decimal"/>
      <w:start w:val="1"/>
    </w:lvl>
  </w:abstractNum>
  <w:abstractNum w:abstractNumId="41">
    <w:nsid w:val="235BA861"/>
    <w:multiLevelType w:val="hybridMultilevel"/>
    <w:lvl w:ilvl="0">
      <w:lvlJc w:val="left"/>
      <w:lvlText w:val="%1."/>
      <w:numFmt w:val="decimal"/>
      <w:start w:val="5"/>
    </w:lvl>
  </w:abstractNum>
  <w:abstractNum w:abstractNumId="42">
    <w:nsid w:val="47398C89"/>
    <w:multiLevelType w:val="hybridMultilevel"/>
    <w:lvl w:ilvl="0">
      <w:lvlJc w:val="left"/>
      <w:lvlText w:val="(%1)"/>
      <w:numFmt w:val="decimal"/>
      <w:start w:val="1"/>
    </w:lvl>
  </w:abstractNum>
  <w:abstractNum w:abstractNumId="43">
    <w:nsid w:val="354FE9F9"/>
    <w:multiLevelType w:val="hybridMultilevel"/>
    <w:lvl w:ilvl="0">
      <w:lvlJc w:val="left"/>
      <w:lvlText w:val="(%1)"/>
      <w:numFmt w:val="decimal"/>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1)"/>
      <w:numFmt w:val="decimal"/>
      <w:start w:val="1"/>
    </w:lvl>
  </w:abstractNum>
  <w:abstractNum w:abstractNumId="46">
    <w:nsid w:val="D34B6A8"/>
    <w:multiLevelType w:val="hybridMultilevel"/>
    <w:lvl w:ilvl="0">
      <w:lvlJc w:val="left"/>
      <w:lvlText w:val="(%1)"/>
      <w:numFmt w:val="decimal"/>
      <w:start w:val="1"/>
    </w:lvl>
  </w:abstractNum>
  <w:abstractNum w:abstractNumId="47">
    <w:nsid w:val="10233C99"/>
    <w:multiLevelType w:val="hybridMultilevel"/>
    <w:lvl w:ilvl="0">
      <w:lvlJc w:val="left"/>
      <w:lvlText w:val="(%1)"/>
      <w:numFmt w:val="decimal"/>
      <w:start w:val="3"/>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1)"/>
      <w:numFmt w:val="decimal"/>
      <w:start w:val="1"/>
    </w:lvl>
  </w:abstractNum>
  <w:abstractNum w:abstractNumId="50">
    <w:nsid w:val="7E0C57B1"/>
    <w:multiLevelType w:val="hybridMultilevel"/>
    <w:lvl w:ilvl="0">
      <w:lvlJc w:val="left"/>
      <w:lvlText w:val="(%1)"/>
      <w:numFmt w:val="decimal"/>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1."/>
      <w:numFmt w:val="decimal"/>
      <w:start w:val="1"/>
    </w:lvl>
  </w:abstractNum>
  <w:abstractNum w:abstractNumId="53">
    <w:nsid w:val="310C50B3"/>
    <w:multiLevelType w:val="hybridMultilevel"/>
    <w:lvl w:ilvl="0">
      <w:lvlJc w:val="left"/>
      <w:lvlText w:val="(%1)"/>
      <w:numFmt w:val="decimal"/>
      <w:start w:val="1"/>
    </w:lvl>
  </w:abstractNum>
  <w:abstractNum w:abstractNumId="54">
    <w:nsid w:val="5FF87E05"/>
    <w:multiLevelType w:val="hybridMultilevel"/>
    <w:lvl w:ilvl="0">
      <w:lvlJc w:val="left"/>
      <w:lvlText w:val="%1."/>
      <w:numFmt w:val="decimal"/>
      <w:start w:val="18"/>
    </w:lvl>
  </w:abstractNum>
  <w:abstractNum w:abstractNumId="55">
    <w:nsid w:val="2F305DEF"/>
    <w:multiLevelType w:val="hybridMultilevel"/>
    <w:lvl w:ilvl="0">
      <w:lvlJc w:val="left"/>
      <w:lvlText w:val="(%1)"/>
      <w:numFmt w:val="decimal"/>
      <w:start w:val="1"/>
    </w:lvl>
  </w:abstractNum>
  <w:abstractNum w:abstractNumId="56">
    <w:nsid w:val="25A70BF7"/>
    <w:multiLevelType w:val="hybridMultilevel"/>
    <w:lvl w:ilvl="0">
      <w:lvlJc w:val="left"/>
      <w:lvlText w:val="(%1)"/>
      <w:numFmt w:val="decimal"/>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1."/>
      <w:numFmt w:val="decimal"/>
      <w:start w:val="74"/>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1)"/>
      <w:numFmt w:val="decimal"/>
      <w:start w:val="1"/>
    </w:lvl>
  </w:abstractNum>
  <w:abstractNum w:abstractNumId="61">
    <w:nsid w:val="5DB70AE5"/>
    <w:multiLevelType w:val="hybridMultilevel"/>
    <w:lvl w:ilvl="0">
      <w:lvlJc w:val="left"/>
      <w:lvlText w:val="(%1)"/>
      <w:numFmt w:val="lowerLetter"/>
      <w:start w:val="1"/>
    </w:lvl>
    <w:lvl w:ilvl="1">
      <w:lvlJc w:val="left"/>
      <w:lvlText w:val="%2."/>
      <w:numFmt w:val="decimal"/>
      <w:start w:val="1"/>
    </w:lvl>
  </w:abstractNum>
  <w:abstractNum w:abstractNumId="62">
    <w:nsid w:val="100F8FCA"/>
    <w:multiLevelType w:val="hybridMultilevel"/>
    <w:lvl w:ilvl="0">
      <w:lvlJc w:val="left"/>
      <w:lvlText w:val="%1."/>
      <w:numFmt w:val="decimal"/>
      <w:start w:val="2"/>
    </w:lvl>
    <w:lvl w:ilvl="1">
      <w:lvlJc w:val="left"/>
      <w:lvlText w:val="%2"/>
      <w:numFmt w:val="upperLetter"/>
      <w:start w:val="1"/>
    </w:lvl>
  </w:abstractNum>
  <w:abstractNum w:abstractNumId="63">
    <w:nsid w:val="6590700B"/>
    <w:multiLevelType w:val="hybridMultilevel"/>
    <w:lvl w:ilvl="0">
      <w:lvlJc w:val="left"/>
      <w:lvlText w:val="(%1)"/>
      <w:numFmt w:val="lowerLetter"/>
      <w:start w:val="2"/>
    </w:lvl>
  </w:abstractNum>
  <w:abstractNum w:abstractNumId="64">
    <w:nsid w:val="15014ACB"/>
    <w:multiLevelType w:val="hybridMultilevel"/>
    <w:lvl w:ilvl="0">
      <w:lvlJc w:val="left"/>
      <w:lvlText w:val="2"/>
      <w:numFmt w:val="bullet"/>
      <w:start w:val="1"/>
    </w:lvl>
  </w:abstractNum>
  <w:abstractNum w:abstractNumId="65">
    <w:nsid w:val="5F5E7FD0"/>
    <w:multiLevelType w:val="hybridMultilevel"/>
    <w:lvl w:ilvl="0">
      <w:lvlJc w:val="left"/>
      <w:lvlText w:val="%1"/>
      <w:numFmt w:val="decimal"/>
      <w:start w:val="21"/>
    </w:lvl>
  </w:abstractNum>
  <w:abstractNum w:abstractNumId="66">
    <w:nsid w:val="98A3148"/>
    <w:multiLevelType w:val="hybridMultilevel"/>
    <w:lvl w:ilvl="0">
      <w:lvlJc w:val="left"/>
      <w:lvlText w:val="%1"/>
      <w:numFmt w:val="decimal"/>
      <w:start w:val="23"/>
    </w:lvl>
  </w:abstractNum>
  <w:abstractNum w:abstractNumId="67">
    <w:nsid w:val="799D0247"/>
    <w:multiLevelType w:val="hybridMultilevel"/>
    <w:lvl w:ilvl="0">
      <w:lvlJc w:val="left"/>
      <w:lvlText w:val="%1"/>
      <w:numFmt w:val="decimal"/>
      <w:start w:val="104"/>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1)"/>
      <w:numFmt w:val="decimal"/>
      <w:start w:val="1"/>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67" Type="http://schemas.openxmlformats.org/officeDocument/2006/relationships/image" Target="media/image123.png"/><Relationship Id="rId173" Type="http://schemas.openxmlformats.org/officeDocument/2006/relationships/image" Target="media/image124.png"/><Relationship Id="rId174" Type="http://schemas.openxmlformats.org/officeDocument/2006/relationships/image" Target="media/image125.png"/><Relationship Id="rId175" Type="http://schemas.openxmlformats.org/officeDocument/2006/relationships/image" Target="media/image126.png"/><Relationship Id="rId176"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179" Type="http://schemas.openxmlformats.org/officeDocument/2006/relationships/image" Target="media/image130.png"/><Relationship Id="rId180" Type="http://schemas.openxmlformats.org/officeDocument/2006/relationships/image" Target="media/image131.png"/><Relationship Id="rId181" Type="http://schemas.openxmlformats.org/officeDocument/2006/relationships/image" Target="media/image132.png"/><Relationship Id="rId182" Type="http://schemas.openxmlformats.org/officeDocument/2006/relationships/image" Target="media/image133.png"/><Relationship Id="rId183" Type="http://schemas.openxmlformats.org/officeDocument/2006/relationships/image" Target="media/image134.png"/><Relationship Id="rId184" Type="http://schemas.openxmlformats.org/officeDocument/2006/relationships/image" Target="media/image135.png"/><Relationship Id="rId185" Type="http://schemas.openxmlformats.org/officeDocument/2006/relationships/image" Target="media/image136.png"/><Relationship Id="rId186" Type="http://schemas.openxmlformats.org/officeDocument/2006/relationships/image" Target="media/image137.png"/><Relationship Id="rId187" Type="http://schemas.openxmlformats.org/officeDocument/2006/relationships/image" Target="media/image138.png"/><Relationship Id="rId188" Type="http://schemas.openxmlformats.org/officeDocument/2006/relationships/image" Target="media/image139.png"/><Relationship Id="rId189" Type="http://schemas.openxmlformats.org/officeDocument/2006/relationships/image" Target="media/image140.png"/><Relationship Id="rId190" Type="http://schemas.openxmlformats.org/officeDocument/2006/relationships/image" Target="media/image141.png"/><Relationship Id="rId191" Type="http://schemas.openxmlformats.org/officeDocument/2006/relationships/image" Target="media/image142.png"/><Relationship Id="rId192" Type="http://schemas.openxmlformats.org/officeDocument/2006/relationships/image" Target="media/image143.png"/><Relationship Id="rId128" Type="http://schemas.openxmlformats.org/officeDocument/2006/relationships/hyperlink" Target="http://www.sec.gov/Archives/edgar/data/16732/000095015919000116/exhibit2.htm" TargetMode="External"/><Relationship Id="rId129" Type="http://schemas.openxmlformats.org/officeDocument/2006/relationships/hyperlink" Target="http://www.sec.gov/Archives/edgar/data/16732/000089322002001206/w64292exv3wxiy.txt" TargetMode="External"/><Relationship Id="rId130" Type="http://schemas.openxmlformats.org/officeDocument/2006/relationships/hyperlink" Target="https://www.sec.gov/Archives/edgar/data/16732/000001673220000072/by-lawsofcampbellsoupc.htm" TargetMode="External"/><Relationship Id="rId131" Type="http://schemas.openxmlformats.org/officeDocument/2006/relationships/hyperlink" Target="http://www.sec.gov/Archives/edgar/data/16732/000095010308002875/dp11895_ex4a.htm" TargetMode="External"/><Relationship Id="rId132" Type="http://schemas.openxmlformats.org/officeDocument/2006/relationships/hyperlink" Target="http://www.sec.gov/Archives/edgar/data/16732/000119312512330540/d385353dex41.htm" TargetMode="External"/><Relationship Id="rId133" Type="http://schemas.openxmlformats.org/officeDocument/2006/relationships/hyperlink" Target="https://www.sec.gov/Archives/edgar/data/16732/000119312520259691/d57612ds3asr.htm" TargetMode="External"/><Relationship Id="rId134" Type="http://schemas.openxmlformats.org/officeDocument/2006/relationships/hyperlink" Target="http://www.sec.gov/Archives/edgar/data/16732/000119312515097806/d801200dex41.htm" TargetMode="External"/><Relationship Id="rId135" Type="http://schemas.openxmlformats.org/officeDocument/2006/relationships/hyperlink" Target="http://www.sec.gov/Archives/edgar/data/16732/000119312515097806/d801200dex42.htm" TargetMode="External"/><Relationship Id="rId136" Type="http://schemas.openxmlformats.org/officeDocument/2006/relationships/hyperlink" Target="http://www.sec.gov/Archives/edgar/data/16732/000095015918000106/ex4-2_4.htm" TargetMode="External"/><Relationship Id="rId137" Type="http://schemas.openxmlformats.org/officeDocument/2006/relationships/hyperlink" Target="http://www.sec.gov/Archives/edgar/data/16732/000095015918000106/ex4-2_5.htm" TargetMode="External"/><Relationship Id="rId138" Type="http://schemas.openxmlformats.org/officeDocument/2006/relationships/hyperlink" Target="http://www.sec.gov/Archives/edgar/data/16732/000095015918000106/ex4-2_6.htm" TargetMode="External"/><Relationship Id="rId139" Type="http://schemas.openxmlformats.org/officeDocument/2006/relationships/hyperlink" Target="http://www.sec.gov/Archives/edgar/data/16732/000095015918000106/ex4-2_7.htm" TargetMode="External"/><Relationship Id="rId140" Type="http://schemas.openxmlformats.org/officeDocument/2006/relationships/hyperlink" Target="https://www.sec.gov/Archives/edgar/data/16732/000119312520119114/d916212dex421.htm" TargetMode="External"/><Relationship Id="rId141" Type="http://schemas.openxmlformats.org/officeDocument/2006/relationships/hyperlink" Target="http://www.sec.gov/Archives/edgar/data/16732/000119312520119114/d916212dex422.htm" TargetMode="External"/><Relationship Id="rId142" Type="http://schemas.openxmlformats.org/officeDocument/2006/relationships/hyperlink" Target="https://www.sec.gov/Archives/edgar/data/16732/000001673219000070/cpb-7292018x10xkxexb4p.htm" TargetMode="External"/><Relationship Id="rId143" Type="http://schemas.openxmlformats.org/officeDocument/2006/relationships/hyperlink" Target="http://www.sec.gov/Archives/edgar/data/16732/000095012310092073/w79419def14a.htm" TargetMode="External"/><Relationship Id="rId144" Type="http://schemas.openxmlformats.org/officeDocument/2006/relationships/hyperlink" Target="http://www.sec.gov/Archives/edgar/data/16732/000119312515341359/d35422ddef14a.htm" TargetMode="External"/><Relationship Id="rId145" Type="http://schemas.openxmlformats.org/officeDocument/2006/relationships/hyperlink" Target="http://www.sec.gov/Archives/edgar/data/16732/000119312514360923/d773216ddef14a.htm" TargetMode="External"/><Relationship Id="rId148" Type="http://schemas.openxmlformats.org/officeDocument/2006/relationships/hyperlink" Target="http://www.sec.gov/Archives/edgar/data/16732/000089322009000515/w73131exv10wxay.htm" TargetMode="External"/><Relationship Id="rId149" Type="http://schemas.openxmlformats.org/officeDocument/2006/relationships/hyperlink" Target="http://www.sec.gov/Archives/edgar/data/16732/000095012311023447/w81833exv10wxay.htm" TargetMode="External"/><Relationship Id="rId150" Type="http://schemas.openxmlformats.org/officeDocument/2006/relationships/hyperlink" Target="http://www.sec.gov/Archives/edgar/data/16732/000089322000001180/w41784ex10-e.txt" TargetMode="External"/><Relationship Id="rId151" Type="http://schemas.openxmlformats.org/officeDocument/2006/relationships/hyperlink" Target="http://www.sec.gov/Archives/edgar/data/16732/000001673217000025/exhibit4c-campbellsoupcomp.htm" TargetMode="External"/><Relationship Id="rId152" Type="http://schemas.openxmlformats.org/officeDocument/2006/relationships/hyperlink" Target="http://www.sec.gov/Archives/edgar/data/16732/000001673217000058/cpb-7302017x10xkxexb10i.htm" TargetMode="External"/><Relationship Id="rId153" Type="http://schemas.openxmlformats.org/officeDocument/2006/relationships/hyperlink" Target="http://www.sec.gov/Archives/edgar/data/16732/000001673217000058/cpb-7302017x10xkxexb10j.htm" TargetMode="External"/><Relationship Id="rId154" Type="http://schemas.openxmlformats.org/officeDocument/2006/relationships/hyperlink" Target="http://www.sec.gov/Archives/edgar/data/16732/000095012311087197/w83891exv10wm.htm" TargetMode="External"/><Relationship Id="rId155" Type="http://schemas.openxmlformats.org/officeDocument/2006/relationships/hyperlink" Target="http://www.sec.gov/Archives/edgar/data/16732/000001673216000146/cpb-7312016x10xkxexb10o.htm" TargetMode="External"/><Relationship Id="rId156" Type="http://schemas.openxmlformats.org/officeDocument/2006/relationships/hyperlink" Target="http://www.sec.gov/Archives/edgar/data/16732/000089322009000515/w73131exv10wxcy.htm" TargetMode="External"/><Relationship Id="rId157" Type="http://schemas.openxmlformats.org/officeDocument/2006/relationships/hyperlink" Target="http://www.sec.gov/Archives/edgar/data/16732/000095012311023447/w81833exv10wxcy.htm" TargetMode="External"/><Relationship Id="rId158" Type="http://schemas.openxmlformats.org/officeDocument/2006/relationships/hyperlink" Target="http://www.sec.gov/Archives/edgar/data/16732/000001673215000059/cpb-1112015xexb10.htm" TargetMode="External"/><Relationship Id="rId159" Type="http://schemas.openxmlformats.org/officeDocument/2006/relationships/hyperlink" Target="http://www.sec.gov/Archives/edgar/data/16732/000001673216000146/cpb-7312046xexb10dd.htm" TargetMode="External"/><Relationship Id="rId160" Type="http://schemas.openxmlformats.org/officeDocument/2006/relationships/hyperlink" Target="http://www.sec.gov/Archives/edgar/data/16732/000001673216000173/cpb-10302016xexbx10b.htm" TargetMode="External"/><Relationship Id="rId161" Type="http://schemas.openxmlformats.org/officeDocument/2006/relationships/hyperlink" Target="http://www.sec.gov/Archives/edgar/data/16732/000001673216000146/cpb-7312016xexb10ff.htm" TargetMode="External"/><Relationship Id="rId162" Type="http://schemas.openxmlformats.org/officeDocument/2006/relationships/hyperlink" Target="http://www.sec.gov/Archives/edgar/data/16732/000001673216000173/cpb-10302016xexbx10c.htm" TargetMode="External"/><Relationship Id="rId163" Type="http://schemas.openxmlformats.org/officeDocument/2006/relationships/hyperlink" Target="https://www.sec.gov/Archives/edgar/data/16732/000001673221000103/cpb-812021x10xkexb10s.htm" TargetMode="External"/><Relationship Id="rId164" Type="http://schemas.openxmlformats.org/officeDocument/2006/relationships/hyperlink" Target="https://www.sec.gov/Archives/edgar/data/16732/000001673221000103/cpb-812021x10xkxex10t.htm" TargetMode="External"/><Relationship Id="rId165" Type="http://schemas.openxmlformats.org/officeDocument/2006/relationships/hyperlink" Target="https://www.sec.gov/Archives/edgar/data/16732/000119312521284156/d216246dex10.htm" TargetMode="External"/><Relationship Id="rId166" Type="http://schemas.openxmlformats.org/officeDocument/2006/relationships/hyperlink" Target="http://www.sec.gov/Archives/edgar/data/16732/000095015918000521/ex10-1.htm" TargetMode="External"/><Relationship Id="rId168" Type="http://schemas.openxmlformats.org/officeDocument/2006/relationships/hyperlink" Target="https://www.sec.gov/Archives/edgar/data/16732/000001673221000160/cpb-exb101x10312021x10xq.htm" TargetMode="External"/><Relationship Id="rId169" Type="http://schemas.openxmlformats.org/officeDocument/2006/relationships/hyperlink" Target="http://www.sec.gov/Archives/edgar/data/16732/000001673219000024/cpb-10282018x10xqxexb10b.htm" TargetMode="External"/><Relationship Id="rId170" Type="http://schemas.openxmlformats.org/officeDocument/2006/relationships/hyperlink" Target="https://www.sec.gov/Archives/edgar/data/16732/000001673220000111/cpb-exhibit10bb.htm" TargetMode="External"/><Relationship Id="rId171" Type="http://schemas.openxmlformats.org/officeDocument/2006/relationships/hyperlink" Target="https://www.sec.gov/Archives/edgar/data/16732/000001673221000034/cpb-ex101x1312021x10xq.htm" TargetMode="External"/><Relationship Id="rId172" Type="http://schemas.openxmlformats.org/officeDocument/2006/relationships/hyperlink" Target="http://www.sec.gov/Archives/edgar/data/16732/000162828019003777/exhibit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2022-09-22T07:02:08Z</dcterms:created>
  <dcterms:modified xsi:type="dcterms:W3CDTF">2022-09-22T07:02:08Z</dcterms:modified>
</cp:coreProperties>
</file>