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38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 w:lineRule="exact"/>
        <w:rPr>
          <w:sz w:val="24"/>
          <w:szCs w:val="24"/>
          <w:color w:val="auto"/>
        </w:rPr>
      </w:pPr>
    </w:p>
    <w:p>
      <w:pPr>
        <w:ind w:left="660"/>
        <w:spacing w:after="0"/>
        <w:tabs>
          <w:tab w:leader="none" w:pos="856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6"/>
          <w:szCs w:val="16"/>
          <w:b w:val="1"/>
          <w:bCs w:val="1"/>
          <w:color w:val="auto"/>
        </w:rPr>
        <w:t>Commission File Number</w:t>
      </w:r>
    </w:p>
    <w:p>
      <w:pPr>
        <w:spacing w:after="0" w:line="27" w:lineRule="exact"/>
        <w:rPr>
          <w:sz w:val="24"/>
          <w:szCs w:val="24"/>
          <w:color w:val="auto"/>
        </w:rPr>
      </w:pPr>
    </w:p>
    <w:p>
      <w:pPr>
        <w:ind w:left="1080"/>
        <w:spacing w:after="0"/>
        <w:tabs>
          <w:tab w:leader="none" w:pos="9300" w:val="left"/>
        </w:tabs>
        <w:rPr>
          <w:sz w:val="20"/>
          <w:szCs w:val="20"/>
          <w:color w:val="auto"/>
        </w:rPr>
      </w:pPr>
      <w:r>
        <w:rPr>
          <w:rFonts w:ascii="Arial" w:cs="Arial" w:eastAsia="Arial" w:hAnsi="Arial"/>
          <w:sz w:val="18"/>
          <w:szCs w:val="18"/>
          <w:b w:val="1"/>
          <w:bCs w:val="1"/>
          <w:color w:val="auto"/>
        </w:rPr>
        <w:t>August 1, 2021</w:t>
      </w:r>
      <w:r>
        <w:rPr>
          <w:sz w:val="20"/>
          <w:szCs w:val="20"/>
          <w:color w:val="auto"/>
        </w:rPr>
        <w:tab/>
      </w:r>
      <w:r>
        <w:rPr>
          <w:rFonts w:ascii="Arial" w:cs="Arial" w:eastAsia="Arial" w:hAnsi="Arial"/>
          <w:sz w:val="16"/>
          <w:szCs w:val="16"/>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CAMPBELL SOUP COMPANY</w:t>
      </w:r>
    </w:p>
    <w:p>
      <w:pPr>
        <w:spacing w:after="0" w:line="60"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6"/>
          <w:szCs w:val="16"/>
          <w:b w:val="1"/>
          <w:bCs w:val="1"/>
          <w:color w:val="auto"/>
        </w:rPr>
        <w:t>21-0419870</w:t>
      </w:r>
    </w:p>
    <w:p>
      <w:pPr>
        <w:spacing w:after="0" w:line="27" w:lineRule="exact"/>
        <w:rPr>
          <w:sz w:val="24"/>
          <w:szCs w:val="24"/>
          <w:color w:val="auto"/>
        </w:rPr>
      </w:pPr>
    </w:p>
    <w:p>
      <w:pPr>
        <w:ind w:left="2080"/>
        <w:spacing w:after="0"/>
        <w:tabs>
          <w:tab w:leader="none" w:pos="712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6"/>
          <w:szCs w:val="16"/>
          <w:i w:val="1"/>
          <w:iCs w:val="1"/>
          <w:color w:val="auto"/>
        </w:rPr>
        <w:t>I.R.S. Employer Identification No.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1" w:lineRule="exact"/>
        <w:rPr>
          <w:sz w:val="24"/>
          <w:szCs w:val="24"/>
          <w:color w:val="auto"/>
        </w:rPr>
      </w:pPr>
    </w:p>
    <w:p>
      <w:pPr>
        <w:ind w:left="1540"/>
        <w:spacing w:after="0"/>
        <w:tabs>
          <w:tab w:leader="none" w:pos="4960" w:val="left"/>
          <w:tab w:leader="none" w:pos="72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27" w:lineRule="exact"/>
        <w:rPr>
          <w:sz w:val="24"/>
          <w:szCs w:val="24"/>
          <w:color w:val="auto"/>
        </w:rPr>
      </w:pPr>
    </w:p>
    <w:p>
      <w:pPr>
        <w:ind w:left="1120"/>
        <w:spacing w:after="0"/>
        <w:tabs>
          <w:tab w:leader="none" w:pos="5420" w:val="left"/>
          <w:tab w:leader="none" w:pos="798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6"/>
          <w:szCs w:val="16"/>
          <w:color w:val="auto"/>
        </w:rPr>
        <w:t>New York Stock Exchange</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ind w:left="340" w:right="150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 Indicate by check mark if the registrant is not required to file reports pursuant to Section 13 or 15(d) of the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4"/>
          <w:szCs w:val="14"/>
          <w:color w:val="auto"/>
        </w:rPr>
        <w:t>☑</w:t>
      </w:r>
      <w:r>
        <w:rPr>
          <w:rFonts w:ascii="Arial" w:cs="Arial" w:eastAsia="Arial" w:hAnsi="Arial"/>
          <w:sz w:val="16"/>
          <w:szCs w:val="16"/>
          <w:color w:val="auto"/>
        </w:rPr>
        <w:t xml:space="preserve"> No</w:t>
      </w:r>
    </w:p>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333333"/>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5" w:right="339" w:bottom="1440" w:gutter="0" w:footer="0" w:header="0"/>
        </w:sectPr>
      </w:pPr>
    </w:p>
    <w:p>
      <w:pPr>
        <w:spacing w:after="0" w:line="115"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Non-accelerated filer</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1"/>
        </w:trPr>
        <w:tc>
          <w:tcPr>
            <w:tcW w:w="9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9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8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9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4" w:lineRule="exact"/>
        <w:rPr>
          <w:sz w:val="24"/>
          <w:szCs w:val="24"/>
          <w:color w:val="auto"/>
        </w:rPr>
      </w:pPr>
    </w:p>
    <w:p>
      <w:pPr>
        <w:sectPr>
          <w:pgSz w:w="11900" w:h="16838" w:orient="portrait"/>
          <w:cols w:equalWidth="0" w:num="2">
            <w:col w:w="3440" w:space="720"/>
            <w:col w:w="7080"/>
          </w:cols>
          <w:pgMar w:left="320" w:top="1035" w:right="339" w:bottom="1440" w:gutter="0" w:footer="0" w:header="0"/>
          <w:type w:val="continuous"/>
        </w:sect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jc w:val="both"/>
        <w:ind w:firstLine="324"/>
        <w:spacing w:after="0" w:line="21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the closing price on the New York Stock Exchange on January 29, 2021 (the last business day of the registrant’s most recently completed second fiscal quarter), the aggregate market value of capital stock held by non-affiliates of the registrant was approximately $9,319,572,891. There were 301,517,743 shares of capital stock outstanding as of September 15, 2021.</w:t>
      </w:r>
    </w:p>
    <w:p>
      <w:pPr>
        <w:spacing w:after="0" w:line="1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Portions of the Registrant’s Proxy Statement for the 2021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519"/>
        </w:trPr>
        <w:tc>
          <w:tcPr>
            <w:tcW w:w="4640" w:type="dxa"/>
            <w:vAlign w:val="bottom"/>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19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3">
              <w:r>
                <w:rPr>
                  <w:rFonts w:ascii="Arial" w:cs="Arial" w:eastAsia="Arial" w:hAnsi="Arial"/>
                  <w:sz w:val="18"/>
                  <w:szCs w:val="18"/>
                  <w:color w:val="0000FF"/>
                </w:rPr>
                <w:t>Item 1. Business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6">
              <w:r>
                <w:rPr>
                  <w:rFonts w:ascii="Arial" w:cs="Arial" w:eastAsia="Arial" w:hAnsi="Arial"/>
                  <w:sz w:val="18"/>
                  <w:szCs w:val="18"/>
                  <w:color w:val="0000FF"/>
                </w:rPr>
                <w:t>Item 1A. Risk Factors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13">
              <w:r>
                <w:rPr>
                  <w:rFonts w:ascii="Arial" w:cs="Arial" w:eastAsia="Arial" w:hAnsi="Arial"/>
                  <w:sz w:val="18"/>
                  <w:szCs w:val="18"/>
                  <w:color w:val="0000FF"/>
                </w:rPr>
                <w:t>Item 1B. Unresolved Staff Comments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13">
              <w:r>
                <w:rPr>
                  <w:rFonts w:ascii="Arial" w:cs="Arial" w:eastAsia="Arial" w:hAnsi="Arial"/>
                  <w:sz w:val="18"/>
                  <w:szCs w:val="18"/>
                  <w:color w:val="0000FF"/>
                </w:rPr>
                <w:t>Item 2. Properties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14</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14">
              <w:r>
                <w:rPr>
                  <w:rFonts w:ascii="Arial" w:cs="Arial" w:eastAsia="Arial" w:hAnsi="Arial"/>
                  <w:sz w:val="18"/>
                  <w:szCs w:val="18"/>
                  <w:color w:val="0000FF"/>
                </w:rPr>
                <w:t>Item 3. Legal Proceedings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14">
              <w:r>
                <w:rPr>
                  <w:rFonts w:ascii="Arial" w:cs="Arial" w:eastAsia="Arial" w:hAnsi="Arial"/>
                  <w:sz w:val="18"/>
                  <w:szCs w:val="18"/>
                  <w:color w:val="0000FF"/>
                </w:rPr>
                <w:t>Item 4. Mine Safety Disclosures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r>
              <w:rPr>
                <w:rFonts w:ascii="Arial" w:cs="Arial" w:eastAsia="Arial" w:hAnsi="Arial"/>
                <w:sz w:val="18"/>
                <w:szCs w:val="18"/>
                <w:color w:val="0000FF"/>
              </w:rPr>
              <w:t xml:space="preserve">Information about our </w:t>
            </w:r>
            <w:hyperlink w:anchor="page14">
              <w:r>
                <w:rPr>
                  <w:rFonts w:ascii="Arial" w:cs="Arial" w:eastAsia="Arial" w:hAnsi="Arial"/>
                  <w:sz w:val="18"/>
                  <w:szCs w:val="18"/>
                  <w:color w:val="0000FF"/>
                </w:rPr>
                <w:t>Executive Officers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r>
      <w:tr>
        <w:trPr>
          <w:trHeight w:val="229"/>
        </w:trPr>
        <w:tc>
          <w:tcPr>
            <w:tcW w:w="8060" w:type="dxa"/>
            <w:vAlign w:val="bottom"/>
            <w:gridSpan w:val="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PART II</w:t>
              </w:r>
            </w:hyperlink>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8060" w:type="dxa"/>
            <w:vAlign w:val="bottom"/>
            <w:gridSpan w:val="3"/>
          </w:tcPr>
          <w:p>
            <w:pPr>
              <w:ind w:left="660"/>
              <w:spacing w:after="0"/>
              <w:rPr>
                <w:rFonts w:ascii="Arial" w:cs="Arial" w:eastAsia="Arial" w:hAnsi="Arial"/>
                <w:sz w:val="18"/>
                <w:szCs w:val="18"/>
                <w:color w:val="0000FF"/>
                <w:w w:val="93"/>
              </w:rPr>
            </w:pPr>
            <w:hyperlink w:anchor="page15">
              <w:r>
                <w:rPr>
                  <w:rFonts w:ascii="Arial" w:cs="Arial" w:eastAsia="Arial" w:hAnsi="Arial"/>
                  <w:sz w:val="18"/>
                  <w:szCs w:val="18"/>
                  <w:color w:val="0000FF"/>
                  <w:w w:val="93"/>
                </w:rPr>
                <w:t>Item 5. Market for Registrant’s Capital Stock, Related Shareholder Matters and Issuer Purchases of</w:t>
              </w:r>
            </w:hyperlink>
          </w:p>
        </w:tc>
        <w:tc>
          <w:tcPr>
            <w:tcW w:w="1460" w:type="dxa"/>
            <w:vAlign w:val="bottom"/>
          </w:tcPr>
          <w:p>
            <w:pPr>
              <w:ind w:left="40"/>
              <w:spacing w:after="0"/>
              <w:rPr>
                <w:rFonts w:ascii="Arial" w:cs="Arial" w:eastAsia="Arial" w:hAnsi="Arial"/>
                <w:sz w:val="18"/>
                <w:szCs w:val="18"/>
                <w:color w:val="0000FF"/>
              </w:rPr>
            </w:pPr>
            <w:hyperlink w:anchor="page15">
              <w:r>
                <w:rPr>
                  <w:rFonts w:ascii="Arial" w:cs="Arial" w:eastAsia="Arial" w:hAnsi="Arial"/>
                  <w:sz w:val="18"/>
                  <w:szCs w:val="18"/>
                  <w:color w:val="0000FF"/>
                </w:rPr>
                <w:t>Equity Securities</w:t>
              </w:r>
            </w:hyperlink>
          </w:p>
        </w:tc>
        <w:tc>
          <w:tcPr>
            <w:tcW w:w="380" w:type="dxa"/>
            <w:vAlign w:val="bottom"/>
          </w:tcPr>
          <w:p>
            <w:pPr>
              <w:ind w:left="20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15</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17">
              <w:r>
                <w:rPr>
                  <w:rFonts w:ascii="Arial" w:cs="Arial" w:eastAsia="Arial" w:hAnsi="Arial"/>
                  <w:sz w:val="18"/>
                  <w:szCs w:val="18"/>
                  <w:color w:val="0000FF"/>
                </w:rPr>
                <w:t>Item 6. Reserved</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r>
      <w:tr>
        <w:trPr>
          <w:trHeight w:val="230"/>
        </w:trPr>
        <w:tc>
          <w:tcPr>
            <w:tcW w:w="8060" w:type="dxa"/>
            <w:vAlign w:val="bottom"/>
            <w:gridSpan w:val="3"/>
          </w:tcPr>
          <w:p>
            <w:pPr>
              <w:ind w:left="660"/>
              <w:spacing w:after="0"/>
              <w:rPr>
                <w:rFonts w:ascii="Arial" w:cs="Arial" w:eastAsia="Arial" w:hAnsi="Arial"/>
                <w:sz w:val="18"/>
                <w:szCs w:val="18"/>
                <w:color w:val="0000FF"/>
                <w:w w:val="96"/>
              </w:rPr>
            </w:pPr>
            <w:hyperlink w:anchor="page17">
              <w:r>
                <w:rPr>
                  <w:rFonts w:ascii="Arial" w:cs="Arial" w:eastAsia="Arial" w:hAnsi="Arial"/>
                  <w:sz w:val="18"/>
                  <w:szCs w:val="18"/>
                  <w:color w:val="0000FF"/>
                  <w:w w:val="96"/>
                </w:rPr>
                <w:t>Item 7. Management's Discussion and Analysis of Financial Condition and Results of Operations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36">
              <w:r>
                <w:rPr>
                  <w:rFonts w:ascii="Arial" w:cs="Arial" w:eastAsia="Arial" w:hAnsi="Arial"/>
                  <w:sz w:val="18"/>
                  <w:szCs w:val="18"/>
                  <w:color w:val="0000FF"/>
                </w:rPr>
                <w:t>Item 7A. Quantitative and Qualitative Disclosure about Market Risk</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36">
              <w:r>
                <w:rPr>
                  <w:rFonts w:ascii="Arial" w:cs="Arial" w:eastAsia="Arial" w:hAnsi="Arial"/>
                  <w:sz w:val="18"/>
                  <w:szCs w:val="18"/>
                  <w:color w:val="0000FF"/>
                </w:rPr>
                <w:t>Item 8. Financial Statements and Supplementary Data</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r>
      <w:tr>
        <w:trPr>
          <w:trHeight w:val="230"/>
        </w:trPr>
        <w:tc>
          <w:tcPr>
            <w:tcW w:w="8060" w:type="dxa"/>
            <w:vAlign w:val="bottom"/>
            <w:gridSpan w:val="3"/>
          </w:tcPr>
          <w:p>
            <w:pPr>
              <w:ind w:left="660"/>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Item 9. Changes in and Disagreements with Accountants on Accounting and Financial Disclosure</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82</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82">
              <w:r>
                <w:rPr>
                  <w:rFonts w:ascii="Arial" w:cs="Arial" w:eastAsia="Arial" w:hAnsi="Arial"/>
                  <w:sz w:val="18"/>
                  <w:szCs w:val="18"/>
                  <w:color w:val="0000FF"/>
                </w:rPr>
                <w:t>Item 9A. Controls and Procedures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82">
              <w:r>
                <w:rPr>
                  <w:rFonts w:ascii="Arial" w:cs="Arial" w:eastAsia="Arial" w:hAnsi="Arial"/>
                  <w:sz w:val="18"/>
                  <w:szCs w:val="18"/>
                  <w:color w:val="0000FF"/>
                </w:rPr>
                <w:t>Item 9B. Other Information</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r>
      <w:tr>
        <w:trPr>
          <w:trHeight w:val="230"/>
        </w:trPr>
        <w:tc>
          <w:tcPr>
            <w:tcW w:w="8060" w:type="dxa"/>
            <w:vAlign w:val="bottom"/>
            <w:gridSpan w:val="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PART III</w:t>
              </w:r>
            </w:hyperlink>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82">
              <w:r>
                <w:rPr>
                  <w:rFonts w:ascii="Arial" w:cs="Arial" w:eastAsia="Arial" w:hAnsi="Arial"/>
                  <w:sz w:val="18"/>
                  <w:szCs w:val="18"/>
                  <w:color w:val="0000FF"/>
                </w:rPr>
                <w:t>Item 10. Directors, Executive Officers and Corporate Governance</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82">
              <w:r>
                <w:rPr>
                  <w:rFonts w:ascii="Arial" w:cs="Arial" w:eastAsia="Arial" w:hAnsi="Arial"/>
                  <w:sz w:val="18"/>
                  <w:szCs w:val="18"/>
                  <w:color w:val="0000FF"/>
                </w:rPr>
                <w:t>Item 11. Executive Compensation</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r>
      <w:tr>
        <w:trPr>
          <w:trHeight w:val="229"/>
        </w:trPr>
        <w:tc>
          <w:tcPr>
            <w:tcW w:w="8060" w:type="dxa"/>
            <w:vAlign w:val="bottom"/>
            <w:gridSpan w:val="3"/>
          </w:tcPr>
          <w:p>
            <w:pPr>
              <w:ind w:left="660"/>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Item 12. Security Ownership of Certain Beneficial Owners and Management and Related Shareholder</w:t>
              </w:r>
            </w:hyperlink>
          </w:p>
        </w:tc>
        <w:tc>
          <w:tcPr>
            <w:tcW w:w="1460" w:type="dxa"/>
            <w:vAlign w:val="bottom"/>
          </w:tcPr>
          <w:p>
            <w:pPr>
              <w:ind w:left="300"/>
              <w:spacing w:after="0"/>
              <w:rPr>
                <w:rFonts w:ascii="Arial" w:cs="Arial" w:eastAsia="Arial" w:hAnsi="Arial"/>
                <w:sz w:val="18"/>
                <w:szCs w:val="18"/>
                <w:color w:val="0000FF"/>
              </w:rPr>
            </w:pPr>
            <w:hyperlink w:anchor="page82">
              <w:r>
                <w:rPr>
                  <w:rFonts w:ascii="Arial" w:cs="Arial" w:eastAsia="Arial" w:hAnsi="Arial"/>
                  <w:sz w:val="18"/>
                  <w:szCs w:val="18"/>
                  <w:color w:val="0000FF"/>
                </w:rPr>
                <w:t>Matters</w:t>
              </w:r>
            </w:hyperlink>
          </w:p>
        </w:tc>
        <w:tc>
          <w:tcPr>
            <w:tcW w:w="380" w:type="dxa"/>
            <w:vAlign w:val="bottom"/>
          </w:tcPr>
          <w:p>
            <w:pPr>
              <w:ind w:left="20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83">
              <w:r>
                <w:rPr>
                  <w:rFonts w:ascii="Arial" w:cs="Arial" w:eastAsia="Arial" w:hAnsi="Arial"/>
                  <w:sz w:val="18"/>
                  <w:szCs w:val="18"/>
                  <w:color w:val="0000FF"/>
                </w:rPr>
                <w:t>Item 13. Certain Relationships and Related Transactions, and Director Independence</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83</w:t>
              </w:r>
            </w:hyperlink>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83">
              <w:r>
                <w:rPr>
                  <w:rFonts w:ascii="Arial" w:cs="Arial" w:eastAsia="Arial" w:hAnsi="Arial"/>
                  <w:sz w:val="18"/>
                  <w:szCs w:val="18"/>
                  <w:color w:val="0000FF"/>
                </w:rPr>
                <w:t>Item 14. Principal Accounting Fees and Services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83</w:t>
              </w:r>
            </w:hyperlink>
          </w:p>
        </w:tc>
      </w:tr>
      <w:tr>
        <w:trPr>
          <w:trHeight w:val="230"/>
        </w:trPr>
        <w:tc>
          <w:tcPr>
            <w:tcW w:w="8060" w:type="dxa"/>
            <w:vAlign w:val="bottom"/>
            <w:gridSpan w:val="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PART IV</w:t>
              </w:r>
            </w:hyperlink>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83">
              <w:r>
                <w:rPr>
                  <w:rFonts w:ascii="Arial" w:cs="Arial" w:eastAsia="Arial" w:hAnsi="Arial"/>
                  <w:sz w:val="18"/>
                  <w:szCs w:val="18"/>
                  <w:color w:val="0000FF"/>
                </w:rPr>
                <w:t>Item 15. Exhibits and Financial Statement Schedules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83</w:t>
              </w:r>
            </w:hyperlink>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84">
              <w:r>
                <w:rPr>
                  <w:rFonts w:ascii="Arial" w:cs="Arial" w:eastAsia="Arial" w:hAnsi="Arial"/>
                  <w:sz w:val="18"/>
                  <w:szCs w:val="18"/>
                  <w:color w:val="0000FF"/>
                </w:rPr>
                <w:t>Item 16. Form 10-K Summary</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84</w:t>
              </w:r>
            </w:hyperlink>
          </w:p>
        </w:tc>
      </w:tr>
      <w:tr>
        <w:trPr>
          <w:trHeight w:val="229"/>
        </w:trPr>
        <w:tc>
          <w:tcPr>
            <w:tcW w:w="8060" w:type="dxa"/>
            <w:vAlign w:val="bottom"/>
            <w:gridSpan w:val="3"/>
          </w:tcPr>
          <w:p>
            <w:pPr>
              <w:ind w:left="660"/>
              <w:spacing w:after="0"/>
              <w:rPr>
                <w:rFonts w:ascii="Arial" w:cs="Arial" w:eastAsia="Arial" w:hAnsi="Arial"/>
                <w:sz w:val="18"/>
                <w:szCs w:val="18"/>
                <w:color w:val="0000FF"/>
              </w:rPr>
            </w:pPr>
            <w:hyperlink w:anchor="page84">
              <w:r>
                <w:rPr>
                  <w:rFonts w:ascii="Arial" w:cs="Arial" w:eastAsia="Arial" w:hAnsi="Arial"/>
                  <w:sz w:val="18"/>
                  <w:szCs w:val="18"/>
                  <w:color w:val="0000FF"/>
                </w:rPr>
                <w:t>Index to Exhibits</w:t>
              </w:r>
            </w:hyperlink>
          </w:p>
        </w:tc>
        <w:tc>
          <w:tcPr>
            <w:tcW w:w="1460" w:type="dxa"/>
            <w:vAlign w:val="bottom"/>
          </w:tcPr>
          <w:p>
            <w:pPr>
              <w:spacing w:after="0"/>
              <w:rPr>
                <w:sz w:val="19"/>
                <w:szCs w:val="19"/>
                <w:color w:val="auto"/>
              </w:rPr>
            </w:pPr>
          </w:p>
        </w:tc>
        <w:tc>
          <w:tcPr>
            <w:tcW w:w="380" w:type="dxa"/>
            <w:vAlign w:val="bottom"/>
          </w:tcPr>
          <w:p>
            <w:pPr>
              <w:ind w:left="200"/>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85</w:t>
              </w:r>
            </w:hyperlink>
          </w:p>
        </w:tc>
      </w:tr>
      <w:tr>
        <w:trPr>
          <w:trHeight w:val="230"/>
        </w:trPr>
        <w:tc>
          <w:tcPr>
            <w:tcW w:w="8060" w:type="dxa"/>
            <w:vAlign w:val="bottom"/>
            <w:gridSpan w:val="3"/>
          </w:tcPr>
          <w:p>
            <w:pPr>
              <w:ind w:left="660"/>
              <w:spacing w:after="0"/>
              <w:rPr>
                <w:rFonts w:ascii="Arial" w:cs="Arial" w:eastAsia="Arial" w:hAnsi="Arial"/>
                <w:sz w:val="18"/>
                <w:szCs w:val="18"/>
                <w:color w:val="0000FF"/>
              </w:rPr>
            </w:pPr>
            <w:hyperlink w:anchor="page87">
              <w:r>
                <w:rPr>
                  <w:rFonts w:ascii="Arial" w:cs="Arial" w:eastAsia="Arial" w:hAnsi="Arial"/>
                  <w:sz w:val="18"/>
                  <w:szCs w:val="18"/>
                  <w:color w:val="0000FF"/>
                </w:rPr>
                <w:t>Signatures</w:t>
              </w:r>
            </w:hyperlink>
          </w:p>
        </w:tc>
        <w:tc>
          <w:tcPr>
            <w:tcW w:w="1460" w:type="dxa"/>
            <w:vAlign w:val="bottom"/>
          </w:tcPr>
          <w:p>
            <w:pPr>
              <w:spacing w:after="0"/>
              <w:rPr>
                <w:sz w:val="20"/>
                <w:szCs w:val="20"/>
                <w:color w:val="auto"/>
              </w:rPr>
            </w:pPr>
          </w:p>
        </w:tc>
        <w:tc>
          <w:tcPr>
            <w:tcW w:w="380" w:type="dxa"/>
            <w:vAlign w:val="bottom"/>
          </w:tcPr>
          <w:p>
            <w:pPr>
              <w:ind w:left="200"/>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7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and Divestitures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we acquired Pacific Foods of Oregon, LLC and Snyder's-Lance, Inc. (Snyder's-Lance).</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In 2019, we announced our plan to divest our Campbell Fresh operating segment and our international biscuits and snacks operating segment. In 2019, we sold our U.S. refrigerated soup business, our Garden Fresh Gourmet business and our Bolthouse Farms business. Within our international biscuits and</w:t>
      </w:r>
    </w:p>
    <w:p>
      <w:pPr>
        <w:jc w:val="both"/>
        <w:spacing w:after="0" w:line="311" w:lineRule="auto"/>
        <w:rPr>
          <w:sz w:val="20"/>
          <w:szCs w:val="20"/>
          <w:color w:val="auto"/>
        </w:rPr>
      </w:pPr>
      <w:r>
        <w:rPr>
          <w:rFonts w:ascii="Arial" w:cs="Arial" w:eastAsia="Arial" w:hAnsi="Arial"/>
          <w:sz w:val="16"/>
          <w:szCs w:val="16"/>
          <w:color w:val="auto"/>
        </w:rPr>
        <w:t>snacks operating segment, 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In addition, on October 11, 2019, we completed the sale of our European chips business.</w:t>
      </w:r>
    </w:p>
    <w:p>
      <w:pPr>
        <w:spacing w:after="0" w:line="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used the net proceeds from the sales to reduce debt as described below in “Management’s Discussion and Analysis of Financial Condition and Results of Operations—Liquidity and Capital Resources.” To support our more focused portfolio, we are pursuing multi-year cost savings initiatives with targeted annualized cost savings of $850 million from continuing operations by the end of 2022, which includes $295 million in synergies and run-rate cost savings from our acquisition of Snyder's-Lance. See "Management's Discussion and Analysis of Financial Condition and Results of Operations" for additional information regarding our cost savings initiatives.</w:t>
      </w:r>
    </w:p>
    <w:p>
      <w:pPr>
        <w:spacing w:after="0" w:line="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U.S. refrigerated soup business, our Garden Fresh Gourmet business and our Bolthouse Farms business were historically included in the Campbell Fresh segment. Beginning in the third quarter of 2019, we have reflected the results of operations of these businesses as discontinued operations in the Consolidated Statements of Earnings for all periods presented.</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Beginning in the fourth quarter of 2019, we have reflected the results of operations of our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 The results of the European chips business through the date of sale were reflected in continuing operations within the Snacks reportable segment.</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2021, we completed the sale of our Plum baby food and snacks business. The results of the Plum baby food and snacks business through the date of sale were reflected in continuing operations within the Meals &amp; Beverages reportable segment.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to the Consolidated Financial Statements for additional information on our divestitures.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reportable segments are:</w:t>
      </w:r>
    </w:p>
    <w:p>
      <w:pPr>
        <w:spacing w:after="0" w:line="90" w:lineRule="exact"/>
        <w:rPr>
          <w:sz w:val="20"/>
          <w:szCs w:val="20"/>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and non-dairy beverages;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ind w:left="660"/>
        <w:spacing w:after="0" w:line="277" w:lineRule="auto"/>
        <w:rPr>
          <w:sz w:val="20"/>
          <w:szCs w:val="20"/>
          <w:color w:val="auto"/>
        </w:rPr>
      </w:pPr>
      <w:r>
        <w:rPr>
          <w:rFonts w:ascii="Arial" w:cs="Arial" w:eastAsia="Arial" w:hAnsi="Arial"/>
          <w:sz w:val="18"/>
          <w:szCs w:val="18"/>
          <w:color w:val="auto"/>
        </w:rPr>
        <w:t xml:space="preserve">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The segment also included the results of our Plum baby food and snacks business, which was sold on May 3, 2021; and</w:t>
      </w:r>
    </w:p>
    <w:p>
      <w:pPr>
        <w:spacing w:after="0" w:line="35" w:lineRule="exact"/>
        <w:rPr>
          <w:sz w:val="20"/>
          <w:szCs w:val="20"/>
          <w:color w:val="auto"/>
        </w:rPr>
      </w:pPr>
    </w:p>
    <w:p>
      <w:pPr>
        <w:jc w:val="both"/>
        <w:ind w:left="660" w:hanging="328"/>
        <w:spacing w:after="0" w:line="296"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 U.S. retail, including </w:t>
      </w:r>
      <w:r>
        <w:rPr>
          <w:rFonts w:ascii="Arial" w:cs="Arial" w:eastAsia="Arial" w:hAnsi="Arial"/>
          <w:sz w:val="16"/>
          <w:szCs w:val="16"/>
          <w:i w:val="1"/>
          <w:iCs w:val="1"/>
          <w:color w:val="auto"/>
        </w:rPr>
        <w:t>Pepperidge Farm</w:t>
      </w:r>
      <w:r>
        <w:rPr>
          <w:rFonts w:ascii="Arial" w:cs="Arial" w:eastAsia="Arial" w:hAnsi="Arial"/>
          <w:sz w:val="16"/>
          <w:szCs w:val="16"/>
          <w:color w:val="auto"/>
        </w:rPr>
        <w:t xml:space="preserve"> Farmhouse* cookies and bakery products,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cookies and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w:t>
      </w:r>
      <w:r>
        <w:rPr>
          <w:rFonts w:ascii="Arial" w:cs="Arial" w:eastAsia="Arial" w:hAnsi="Arial"/>
          <w:sz w:val="16"/>
          <w:szCs w:val="16"/>
          <w:i w:val="1"/>
          <w:iCs w:val="1"/>
          <w:color w:val="auto"/>
        </w:rPr>
        <w:t>Snyder’s of Hanover*</w:t>
      </w:r>
      <w:r>
        <w:rPr>
          <w:rFonts w:ascii="Arial" w:cs="Arial" w:eastAsia="Arial" w:hAnsi="Arial"/>
          <w:sz w:val="16"/>
          <w:szCs w:val="16"/>
          <w:color w:val="auto"/>
        </w:rPr>
        <w:t xml:space="preserve"> pretzels, </w:t>
      </w:r>
      <w:r>
        <w:rPr>
          <w:rFonts w:ascii="Arial" w:cs="Arial" w:eastAsia="Arial" w:hAnsi="Arial"/>
          <w:sz w:val="16"/>
          <w:szCs w:val="16"/>
          <w:i w:val="1"/>
          <w:iCs w:val="1"/>
          <w:color w:val="auto"/>
        </w:rPr>
        <w:t>Lance*</w:t>
      </w:r>
      <w:r>
        <w:rPr>
          <w:rFonts w:ascii="Arial" w:cs="Arial" w:eastAsia="Arial" w:hAnsi="Arial"/>
          <w:sz w:val="16"/>
          <w:szCs w:val="16"/>
          <w:color w:val="auto"/>
        </w:rPr>
        <w:t xml:space="preserve"> sandwich crackers,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and </w:t>
      </w:r>
      <w:r>
        <w:rPr>
          <w:rFonts w:ascii="Arial" w:cs="Arial" w:eastAsia="Arial" w:hAnsi="Arial"/>
          <w:sz w:val="16"/>
          <w:szCs w:val="16"/>
          <w:i w:val="1"/>
          <w:iCs w:val="1"/>
          <w:color w:val="auto"/>
        </w:rPr>
        <w:t>Kettle Brand*</w:t>
      </w:r>
      <w:r>
        <w:rPr>
          <w:rFonts w:ascii="Arial" w:cs="Arial" w:eastAsia="Arial" w:hAnsi="Arial"/>
          <w:sz w:val="16"/>
          <w:szCs w:val="16"/>
          <w:color w:val="auto"/>
        </w:rPr>
        <w:t xml:space="preserve"> potato chips, </w:t>
      </w:r>
      <w:r>
        <w:rPr>
          <w:rFonts w:ascii="Arial" w:cs="Arial" w:eastAsia="Arial" w:hAnsi="Arial"/>
          <w:sz w:val="16"/>
          <w:szCs w:val="16"/>
          <w:i w:val="1"/>
          <w:iCs w:val="1"/>
          <w:color w:val="auto"/>
        </w:rPr>
        <w:t>Late July*</w:t>
      </w:r>
      <w:r>
        <w:rPr>
          <w:rFonts w:ascii="Arial" w:cs="Arial" w:eastAsia="Arial" w:hAnsi="Arial"/>
          <w:sz w:val="16"/>
          <w:szCs w:val="16"/>
          <w:color w:val="auto"/>
        </w:rPr>
        <w:t xml:space="preserve"> snacks, </w:t>
      </w:r>
      <w:r>
        <w:rPr>
          <w:rFonts w:ascii="Arial" w:cs="Arial" w:eastAsia="Arial" w:hAnsi="Arial"/>
          <w:sz w:val="16"/>
          <w:szCs w:val="16"/>
          <w:i w:val="1"/>
          <w:iCs w:val="1"/>
          <w:color w:val="auto"/>
        </w:rPr>
        <w:t>Snack Factory</w:t>
      </w:r>
      <w:r>
        <w:rPr>
          <w:rFonts w:ascii="Arial" w:cs="Arial" w:eastAsia="Arial" w:hAnsi="Arial"/>
          <w:sz w:val="16"/>
          <w:szCs w:val="16"/>
          <w:color w:val="auto"/>
        </w:rPr>
        <w:t xml:space="preserve"> pretzel crisps</w:t>
      </w:r>
      <w:r>
        <w:rPr>
          <w:rFonts w:ascii="Arial" w:cs="Arial" w:eastAsia="Arial" w:hAnsi="Arial"/>
          <w:sz w:val="16"/>
          <w:szCs w:val="16"/>
          <w:i w:val="1"/>
          <w:iCs w:val="1"/>
          <w:color w:val="auto"/>
        </w:rPr>
        <w:t>,* Pop Secret</w:t>
      </w:r>
      <w:r>
        <w:rPr>
          <w:rFonts w:ascii="Arial" w:cs="Arial" w:eastAsia="Arial" w:hAnsi="Arial"/>
          <w:sz w:val="16"/>
          <w:szCs w:val="16"/>
          <w:color w:val="auto"/>
        </w:rPr>
        <w:t xml:space="preserve"> popcorn, </w:t>
      </w:r>
      <w:r>
        <w:rPr>
          <w:rFonts w:ascii="Arial" w:cs="Arial" w:eastAsia="Arial" w:hAnsi="Arial"/>
          <w:sz w:val="16"/>
          <w:szCs w:val="16"/>
          <w:i w:val="1"/>
          <w:iCs w:val="1"/>
          <w:color w:val="auto"/>
        </w:rPr>
        <w:t>Emerald</w:t>
      </w:r>
      <w:r>
        <w:rPr>
          <w:rFonts w:ascii="Arial" w:cs="Arial" w:eastAsia="Arial" w:hAnsi="Arial"/>
          <w:sz w:val="16"/>
          <w:szCs w:val="16"/>
          <w:color w:val="auto"/>
        </w:rPr>
        <w:t xml:space="preserve"> nuts, and other snacking products in retail and foodservice in the U.S. and Canada. The segment includes the retail business in Latin America. This segment also included the results of our European chips business, which was sold on October 11, 2019. We refer to the * trademarks as our "power brands."</w:t>
      </w:r>
    </w:p>
    <w:p>
      <w:pPr>
        <w:spacing w:after="0" w:line="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Beginning in 2022, the foodservice and Canadian portion of Snacks will be managed as part of Meals &amp; Beverages. See Note 6 to the Consolidated Financial Statements and "Management's Discussion and Analysis of Financial Condition and Results of Operations" for additional information regarding our reportable segments.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Ingredients and Packaging</w:t>
      </w:r>
    </w:p>
    <w:p>
      <w:pPr>
        <w:spacing w:after="0" w:line="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ingredients and packaging materials required for the manufacture of our food and beverage products are purchased from various suppliers, substantially all of which are located in North America. In the later part of 2021 and the early part of 2022, the costs of labor, raw materials, energy, fuel, packaging materials and other inputs necessary for the production and distribution of our products have rapidly increased. In addition, many of these items are subject to price fluctuations from a number of factors, including but not limited to climate change,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 illness (such as the COVID-19 pandemic) and other factors that may be beyond our control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In addition, certain of the materials required for the manufacture of our products, including steel and aluminum, have been or may be impacted by tariffs. Although we are unable to predict the impact of our ability to source these ingredients and packaging materials in the future, we expect these supply pressures to continue throughout 2022. We also expect the pressures of input cost inflation to continue into 2022. For information on the impact of inflation, see "Management’s Discussion and Analysis of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0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drug stores, dollar stores, e-commerce and other retail, commercial and non-commercial establishments. Each of Pepperidge Farm and Snyder's-Lance also has a direct-store-delivery distribution model that uses independent contractor distributors. We make shipments promptly after acceptance of orders.</w:t>
      </w:r>
    </w:p>
    <w:p>
      <w:pPr>
        <w:spacing w:after="0" w:line="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five largest customers accounted for approximately 46% of our consolidated net sales from continuing operations in 2021, 44% in 2020 and 43% in 2019. Our largest customer, Wal-Mart Stores, Inc. and its affiliates, accounted for approximately 21% of our consolidated net sales from continuing operations in 2021 and 2020 and 20% 2019. Both of our reportable segments sold products to Wal-Mart Stores, Inc. or its affiliates. No other customer accounted for 10% or more of our consolidated net sales.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Technology</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September 15, 2021, we owned over 3,000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w:t>
      </w:r>
      <w:r>
        <w:rPr>
          <w:rFonts w:ascii="Arial" w:cs="Arial" w:eastAsia="Arial" w:hAnsi="Arial"/>
          <w:sz w:val="18"/>
          <w:szCs w:val="18"/>
          <w:i w:val="1"/>
          <w:iCs w:val="1"/>
          <w:color w:val="auto"/>
        </w:rPr>
        <w:t>Chunky</w:t>
      </w:r>
      <w:r>
        <w:rPr>
          <w:rFonts w:ascii="Arial" w:cs="Arial" w:eastAsia="Arial" w:hAnsi="Arial"/>
          <w:sz w:val="18"/>
          <w:szCs w:val="18"/>
          <w:color w:val="auto"/>
        </w:rPr>
        <w:t xml:space="preserve">, </w:t>
      </w:r>
      <w:r>
        <w:rPr>
          <w:rFonts w:ascii="Arial" w:cs="Arial" w:eastAsia="Arial" w:hAnsi="Arial"/>
          <w:sz w:val="18"/>
          <w:szCs w:val="18"/>
          <w:i w:val="1"/>
          <w:iCs w:val="1"/>
          <w:color w:val="auto"/>
        </w:rPr>
        <w:t>Emerald</w:t>
      </w:r>
      <w:r>
        <w:rPr>
          <w:rFonts w:ascii="Arial" w:cs="Arial" w:eastAsia="Arial" w:hAnsi="Arial"/>
          <w:sz w:val="18"/>
          <w:szCs w:val="18"/>
          <w:color w:val="auto"/>
        </w:rPr>
        <w:t xml:space="preserve">,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w:t>
      </w:r>
      <w:r>
        <w:rPr>
          <w:rFonts w:ascii="Arial" w:cs="Arial" w:eastAsia="Arial" w:hAnsi="Arial"/>
          <w:sz w:val="18"/>
          <w:szCs w:val="18"/>
          <w:i w:val="1"/>
          <w:iCs w:val="1"/>
          <w:color w:val="auto"/>
        </w:rPr>
        <w:t>Lance</w:t>
      </w:r>
      <w:r>
        <w:rPr>
          <w:rFonts w:ascii="Arial" w:cs="Arial" w:eastAsia="Arial" w:hAnsi="Arial"/>
          <w:sz w:val="18"/>
          <w:szCs w:val="18"/>
          <w:color w:val="auto"/>
        </w:rPr>
        <w:t xml:space="preserve">, </w:t>
      </w:r>
      <w:r>
        <w:rPr>
          <w:rFonts w:ascii="Arial" w:cs="Arial" w:eastAsia="Arial" w:hAnsi="Arial"/>
          <w:sz w:val="18"/>
          <w:szCs w:val="18"/>
          <w:i w:val="1"/>
          <w:iCs w:val="1"/>
          <w:color w:val="auto"/>
        </w:rPr>
        <w:t>Late July</w:t>
      </w:r>
      <w:r>
        <w:rPr>
          <w:rFonts w:ascii="Arial" w:cs="Arial" w:eastAsia="Arial" w:hAnsi="Arial"/>
          <w:sz w:val="18"/>
          <w:szCs w:val="18"/>
          <w:color w:val="auto"/>
        </w:rPr>
        <w:t>,</w:t>
      </w:r>
      <w:r>
        <w:rPr>
          <w:rFonts w:ascii="Arial" w:cs="Arial" w:eastAsia="Arial" w:hAnsi="Arial"/>
          <w:sz w:val="18"/>
          <w:szCs w:val="18"/>
          <w:i w:val="1"/>
          <w:iCs w:val="1"/>
          <w:color w:val="auto"/>
        </w:rPr>
        <w:t xml:space="preserve"> Milano</w:t>
      </w:r>
      <w:r>
        <w:rPr>
          <w:rFonts w:ascii="Arial" w:cs="Arial" w:eastAsia="Arial" w:hAnsi="Arial"/>
          <w:sz w:val="18"/>
          <w:szCs w:val="18"/>
          <w:color w:val="auto"/>
        </w:rPr>
        <w:t>,</w:t>
      </w:r>
      <w:r>
        <w:rPr>
          <w:rFonts w:ascii="Arial" w:cs="Arial" w:eastAsia="Arial" w:hAnsi="Arial"/>
          <w:sz w:val="18"/>
          <w:szCs w:val="18"/>
          <w:i w:val="1"/>
          <w:iCs w:val="1"/>
          <w:color w:val="auto"/>
        </w:rPr>
        <w:t xml:space="preserve"> Pace</w:t>
      </w:r>
      <w:r>
        <w:rPr>
          <w:rFonts w:ascii="Arial" w:cs="Arial" w:eastAsia="Arial" w:hAnsi="Arial"/>
          <w:sz w:val="18"/>
          <w:szCs w:val="18"/>
          <w:color w:val="auto"/>
        </w:rPr>
        <w:t>,</w:t>
      </w:r>
      <w:r>
        <w:rPr>
          <w:rFonts w:ascii="Arial" w:cs="Arial" w:eastAsia="Arial" w:hAnsi="Arial"/>
          <w:sz w:val="18"/>
          <w:szCs w:val="18"/>
          <w:i w:val="1"/>
          <w:iCs w:val="1"/>
          <w:color w:val="auto"/>
        </w:rPr>
        <w:t xml:space="preserve"> Pacific Foods</w:t>
      </w:r>
      <w:r>
        <w:rPr>
          <w:rFonts w:ascii="Arial" w:cs="Arial" w:eastAsia="Arial" w:hAnsi="Arial"/>
          <w:sz w:val="18"/>
          <w:szCs w:val="18"/>
          <w:color w:val="auto"/>
        </w:rPr>
        <w:t>,</w:t>
      </w:r>
      <w:r>
        <w:rPr>
          <w:rFonts w:ascii="Arial" w:cs="Arial" w:eastAsia="Arial" w:hAnsi="Arial"/>
          <w:sz w:val="18"/>
          <w:szCs w:val="18"/>
          <w:i w:val="1"/>
          <w:iCs w:val="1"/>
          <w:color w:val="auto"/>
        </w:rPr>
        <w:t xml:space="preserve"> Pepperidge Farm</w:t>
      </w:r>
      <w:r>
        <w:rPr>
          <w:rFonts w:ascii="Arial" w:cs="Arial" w:eastAsia="Arial" w:hAnsi="Arial"/>
          <w:sz w:val="18"/>
          <w:szCs w:val="18"/>
          <w:color w:val="auto"/>
        </w:rPr>
        <w:t>,</w:t>
      </w:r>
      <w:r>
        <w:rPr>
          <w:rFonts w:ascii="Arial" w:cs="Arial" w:eastAsia="Arial" w:hAnsi="Arial"/>
          <w:sz w:val="18"/>
          <w:szCs w:val="18"/>
          <w:i w:val="1"/>
          <w:iCs w:val="1"/>
          <w:color w:val="auto"/>
        </w:rPr>
        <w:t xml:space="preserve"> Pop Secret</w:t>
      </w:r>
      <w:r>
        <w:rPr>
          <w:rFonts w:ascii="Arial" w:cs="Arial" w:eastAsia="Arial" w:hAnsi="Arial"/>
          <w:sz w:val="18"/>
          <w:szCs w:val="18"/>
          <w:color w:val="auto"/>
        </w:rPr>
        <w:t>,</w:t>
      </w:r>
      <w:r>
        <w:rPr>
          <w:rFonts w:ascii="Arial" w:cs="Arial" w:eastAsia="Arial" w:hAnsi="Arial"/>
          <w:sz w:val="18"/>
          <w:szCs w:val="18"/>
          <w:i w:val="1"/>
          <w:iCs w:val="1"/>
          <w:color w:val="auto"/>
        </w:rPr>
        <w:t xml:space="preserve"> Prego</w:t>
      </w:r>
      <w:r>
        <w:rPr>
          <w:rFonts w:ascii="Arial" w:cs="Arial" w:eastAsia="Arial" w:hAnsi="Arial"/>
          <w:sz w:val="18"/>
          <w:szCs w:val="18"/>
          <w:color w:val="auto"/>
        </w:rPr>
        <w:t>,</w:t>
      </w:r>
      <w:r>
        <w:rPr>
          <w:rFonts w:ascii="Arial" w:cs="Arial" w:eastAsia="Arial" w:hAnsi="Arial"/>
          <w:sz w:val="18"/>
          <w:szCs w:val="18"/>
          <w:i w:val="1"/>
          <w:iCs w:val="1"/>
          <w:color w:val="auto"/>
        </w:rPr>
        <w:t xml:space="preserve"> Snack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Snyder's of Hanover</w:t>
      </w:r>
      <w:r>
        <w:rPr>
          <w:rFonts w:ascii="Arial" w:cs="Arial" w:eastAsia="Arial" w:hAnsi="Arial"/>
          <w:sz w:val="18"/>
          <w:szCs w:val="18"/>
          <w:color w:val="auto"/>
        </w:rPr>
        <w:t>,</w:t>
      </w:r>
      <w:r>
        <w:rPr>
          <w:rFonts w:ascii="Arial" w:cs="Arial" w:eastAsia="Arial" w:hAnsi="Arial"/>
          <w:sz w:val="18"/>
          <w:szCs w:val="18"/>
          <w:i w:val="1"/>
          <w:iCs w:val="1"/>
          <w:color w:val="auto"/>
        </w:rPr>
        <w:t xml:space="preserve"> Spaghettios</w:t>
      </w:r>
      <w:r>
        <w:rPr>
          <w:rFonts w:ascii="Arial" w:cs="Arial" w:eastAsia="Arial" w:hAnsi="Arial"/>
          <w:sz w:val="18"/>
          <w:szCs w:val="18"/>
          <w:color w:val="auto"/>
        </w:rPr>
        <w:t>,</w:t>
      </w:r>
      <w:r>
        <w:rPr>
          <w:rFonts w:ascii="Arial" w:cs="Arial" w:eastAsia="Arial" w:hAnsi="Arial"/>
          <w:sz w:val="18"/>
          <w:szCs w:val="18"/>
          <w:i w:val="1"/>
          <w:iCs w:val="1"/>
          <w:color w:val="auto"/>
        </w:rPr>
        <w:t xml:space="preserve"> Swanson</w:t>
      </w:r>
      <w:r>
        <w:rPr>
          <w:rFonts w:ascii="Arial" w:cs="Arial" w:eastAsia="Arial" w:hAnsi="Arial"/>
          <w:sz w:val="18"/>
          <w:szCs w:val="18"/>
          <w:color w:val="auto"/>
        </w:rPr>
        <w:t>, and</w:t>
      </w:r>
      <w:r>
        <w:rPr>
          <w:rFonts w:ascii="Arial" w:cs="Arial" w:eastAsia="Arial" w:hAnsi="Arial"/>
          <w:sz w:val="18"/>
          <w:szCs w:val="18"/>
          <w:i w:val="1"/>
          <w:iCs w:val="1"/>
          <w:color w:val="auto"/>
        </w:rPr>
        <w:t xml:space="preserve"> V8</w:t>
      </w:r>
      <w:r>
        <w:rPr>
          <w:rFonts w:ascii="Arial" w:cs="Arial" w:eastAsia="Arial" w:hAnsi="Arial"/>
          <w:sz w:val="18"/>
          <w:szCs w:val="18"/>
          <w:color w:val="auto"/>
        </w:rPr>
        <w:t>, are</w:t>
      </w:r>
      <w:r>
        <w:rPr>
          <w:rFonts w:ascii="Arial" w:cs="Arial" w:eastAsia="Arial" w:hAnsi="Arial"/>
          <w:sz w:val="18"/>
          <w:szCs w:val="18"/>
          <w:i w:val="1"/>
          <w:iCs w:val="1"/>
          <w:color w:val="auto"/>
        </w:rPr>
        <w:t xml:space="preserve"> </w:t>
      </w:r>
      <w:r>
        <w:rPr>
          <w:rFonts w:ascii="Arial" w:cs="Arial" w:eastAsia="Arial" w:hAnsi="Arial"/>
          <w:sz w:val="18"/>
          <w:szCs w:val="18"/>
          <w:color w:val="auto"/>
        </w:rPr>
        <w:t>protected by trademark law in the major markets where they are used.</w:t>
      </w:r>
    </w:p>
    <w:p>
      <w:pPr>
        <w:spacing w:after="0" w:line="5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2021, our aggregate capital expenditures were $275 million. We expect to spend approximately $330 million for capital projects in 2022. Major capital projects based on planned spend in 2022 include a chips and cracker capacity expansion for our Snacks business and a new manufacturing line for our Meals &amp; Beverages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manufacture and sale of consumer food products is highly regulated. In the U.S., our activities are subject to regulation by various federal government agencies, including the Food and Drug Administration, the Department of Agriculture, the Federal Trade Commission, the Department of Labor, the Department of Commerce, the Occupational Safety and Health Administration and the Environmental Protection Agency, as well as various state and local agencies. Our business is also regulated by similar agencies outside of the U.S. We believe that we are in compliance with such laws and regulations in all material respects and do not expect that continued compliance with such laws and regulations will have a material effect on capital expenditures, earnings or our competitive position.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requirements for the operation and design of our facilities that meet or exceed applicable environmental rules and regulations. Of our $275 million in capital expenditures made during 2021, approximately $15 million were for compliance with environmental laws and regulations in the U.S. We further estimate that approximately $14 million of the capital expenditures anticipated during 2022 will be for compliance with U.S. environmental laws and regulations. We believe that the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Demand for soup products is seasonal, with the fall and winter months usually accounting for the highest sales volume. Demand for our other products is generally evenly distributed throughout the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 core pillar of our strategic plan is to build a winning team and culture. To do this, we are committed to building a company where everyone can be real, and feel safe, valued and supported to do their best work. We believe that our employees are the driving force behind our success and prioritize attracting, developing and retaining diverse, world-class talent and creating an inclusive culture that embodies our purpose: </w:t>
      </w:r>
      <w:r>
        <w:rPr>
          <w:rFonts w:ascii="Arial" w:cs="Arial" w:eastAsia="Arial" w:hAnsi="Arial"/>
          <w:sz w:val="18"/>
          <w:szCs w:val="18"/>
          <w:i w:val="1"/>
          <w:iCs w:val="1"/>
          <w:color w:val="auto"/>
        </w:rPr>
        <w:t>Connecting people through</w:t>
      </w:r>
      <w:r>
        <w:rPr>
          <w:rFonts w:ascii="Arial" w:cs="Arial" w:eastAsia="Arial" w:hAnsi="Arial"/>
          <w:sz w:val="18"/>
          <w:szCs w:val="18"/>
          <w:color w:val="auto"/>
        </w:rPr>
        <w:t xml:space="preserve"> </w:t>
      </w:r>
      <w:r>
        <w:rPr>
          <w:rFonts w:ascii="Arial" w:cs="Arial" w:eastAsia="Arial" w:hAnsi="Arial"/>
          <w:sz w:val="18"/>
          <w:szCs w:val="18"/>
          <w:i w:val="1"/>
          <w:iCs w:val="1"/>
          <w:color w:val="auto"/>
        </w:rPr>
        <w:t>food they love</w:t>
      </w:r>
      <w:r>
        <w:rPr>
          <w:rFonts w:ascii="Arial" w:cs="Arial" w:eastAsia="Arial" w:hAnsi="Arial"/>
          <w:sz w:val="18"/>
          <w:szCs w:val="18"/>
          <w:color w:val="auto"/>
        </w:rPr>
        <w:t>. On August 1, 2021, we had approximately 14,100 employees.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Training, Development and Engagement</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invest in our employees through training and development programs. We have partnered with leading online content experts and have recently increased internal learning development to expand our catalog of courses. A suite of training and education programs are available to employees ranging from role-specific training to education on soft skills to assist them with enhancing their careers through continuous learning. Through objective-setting, individual development plans, learning opportunities, feedback and coaching, employees are encouraged to continue their professional growth. Our education programs allow employees to focus on timely and topical development areas including leadership, management excellence, functional capabilities and inclusion and diversity. We communicate frequently and transparently with our employees through regular company-wide and business unit check-ins, and we conduct employee engagement surveys that provide our employees with an opportunity to share anonymous feedback with management in a variety of areas including confidence in leadership, growth and career opportunities, available resources, compensation and overall engagement. These surveys allow our leaders to develop action plans for their business units as well as the broader organization.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both"/>
        <w:ind w:firstLine="324"/>
        <w:spacing w:after="0" w:line="263" w:lineRule="auto"/>
        <w:rPr>
          <w:sz w:val="20"/>
          <w:szCs w:val="20"/>
          <w:color w:val="auto"/>
        </w:rPr>
      </w:pPr>
      <w:r>
        <w:rPr>
          <w:rFonts w:ascii="Arial" w:cs="Arial" w:eastAsia="Arial" w:hAnsi="Arial"/>
          <w:sz w:val="18"/>
          <w:szCs w:val="18"/>
          <w:color w:val="auto"/>
        </w:rPr>
        <w:t>In 2021, we created the Campbell Employee Experience Framework to enhance the foundational moments that are key to an employee's career at our company - from the candidate experience and onboarding through career advancement - with a focus on ways of working and improving culture and inclusivity.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Inclusion and Diversity</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having an inclusive and diverse culture strengthens our ability to recruit talent and allows all employees to thrive and succeed. Diversity of input and perspectives is an essential part of our strategic plan to build a winning team and culture and we are committed to recruiting, retaining and developing a workforce that reflects the diversity of the consumers we serve. In 2021, we accelerated our inclusion and diversity efforts and elevated work in these areas on an enterprise-wise level. We continued to build out the actionable and holistic inclusion and diversity strategy we introduced in 2020 by focusing our refined strategy on three guiding pillars:</w:t>
      </w:r>
    </w:p>
    <w:p>
      <w:pPr>
        <w:spacing w:after="0" w:line="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Capabilities - providing resources and tools to employees to build capabilities to build a winning team a culture and to drive systemic change;</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Advocacy - strengthening ally networks by supporting our employees, our partners and the communities where we live and work; and</w:t>
      </w:r>
    </w:p>
    <w:p>
      <w:pPr>
        <w:spacing w:after="0" w:line="11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Accountability - having individual, management and organizational accountability and transparency about our progress on building an inclusive culture.</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also continue to provide inclusion and diversity training for employees to highlight issues that impact underrepresented communities. Throughout 2021 the board of directors (Board) received regular updates from management on our inclusion and diversity efforts.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Wellness and Safety</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employees' health, safety and well-being are our top priorities. In response to the emergence of COVID-19, we implemented an enterprise-wise response to ensure safety. We enacted safety and sanitation measures to help ensure employees' health and well-being, embraced remote work for those who were able, and introduced enhanced sanitation, mask use, temperature checks and other protective equipment protocols and social distancing measures for our front-line employees. In addition, our Resources for Living program provides information, education tools and resources to help support our employees' physical, financial, social and emotional well-being. As part of this focus on well-being, we emphasize the need for our employees to embrace healthy lifestyles and we offer a variety of wellness education opportunities for our employees.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Rewards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provide market-based competitive compensation through our salary, annual incentive and long-term incentive programs, and a robust benefits package that promotes the overall well-being of our employees. We provide a variety of resources and services to help our employees plan for retirement and provide a 401(k) plan with immediate vesting. We benchmark and establish compensation structures based on competitive market data. Individual pay is based on various factors such as an employee's role, experience, job location and contributions. Performance discussions for salaried employees are conducted throughout the year to assess contributions and inform individual development plans. We have enhanced our focus on the employee experience by highlighting key moments in the employment life-cycle and providing enhanced communications about our comprehensive offerings.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primary corporate website can be found at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We make available free of charge at the Investor portion of this website (under the "About Us—Investors—Financials—SEC Filings" caption) all of our reports (including amendments) filed or furnished pursuant to Section 13(a) or 15(d) of the Securities Exchange Act of 1934, as amended,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53"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6"/>
          <w:szCs w:val="16"/>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related ongoing implications could adversely impact our business and results of operations</w:t>
      </w:r>
    </w:p>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COVID-19 pandemic has had, and could continue to have, a negative impact on financial markets, economic conditions, and portions of our industry as a result of changes in consumer behavior, retailer inventory levels, cost inflation, manufacturing and supply chain disruption, and overall macroeconomic conditions. Although our business has benefited from increased at-home consumption due to restrictions related to COVID-19, our ability to sustain heightened sales is dependent on consumer purchasing behavior. The continued availability and effectiveness of vaccines may partially mitigate the risks around the continued spread of COVID-19, however, with the spread of the COVID-19 variants, the ongoing implications of the COVID-19 pandemic could adversely impact our business and results of operations in a number of ways, including but not limited to:</w:t>
      </w:r>
    </w:p>
    <w:p>
      <w:pPr>
        <w:spacing w:after="0" w:line="56"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shutdown of one or more of our manufacturing, warehousing or distribution facilities, or disruption in our supply chain, including but not limited to, as a result of illness, labor shortages, government restrictions or other workforce disruptions;</w:t>
      </w:r>
    </w:p>
    <w:p>
      <w:pPr>
        <w:spacing w:after="0" w:line="4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third parties on which we rely, including but not limited to, those that supply our packaging, ingredients, equipment and other necessary operating materials, co-manufacturers and independent contractors, to meet their obligations to us, or significant disruptions in their ability to do so;</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strain on our supply chain, which could result from short-term or sustained changes and volatility in consumer purchasing and consumption patterns that increase demand at our retail customers and exceed our production capacity for our products;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volatility in commodity and other input costs, which may not be sufficiently offset by our commodity hedging activities;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disruption to our distribution capabilities or to our distribution channels, including those of our suppliers, contract manufacturers, logistics service providers or independent distributors;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portion of our workforce, including our management team, could become unable to work as a result of illness, or the attention of our management team could be diverted if key employees become ill from COVID-19 and unable to work;</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demand for or availability of our products as a result of retailers, distributors, or carriers modifying their inventory, fulfillment or shipping practices;</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effectively modify our trade promotion and advertising activities to reflect changing consumer shopping habits due to, among other things, reduced in-store visits and travel restrictions;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shift in consumer spending as a result of an economic downturn could result in consumers moving to private label or lower price products; and</w:t>
      </w:r>
    </w:p>
    <w:p>
      <w:pPr>
        <w:spacing w:after="0" w:line="12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business disruptions and uncertainties related to the COVID-19 pandemic for a sustained period of time could result in additional delays or modifications to our strategic plans and other initiatives and hinder our ability to achieve anticipated cost savings and productivity initiatives on the original timelines.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and other impacts of the COVID-19 pandemic could also have the effect of heightening many of the other risk factors included below in this Item 1A. The ultimate impact depends on the severity and duration of the current COVID-19 pandemic, including the emergence and spread of COVID-19 variants, the continued availability and effectiveness of vaccines and actions taken by governmental authorities and other third parties in response to the pandemic, each of which is uncertain, rapidly changing and difficult to predict. Any of these disruptions could adversely impact our business and results of operations.</w:t>
      </w:r>
    </w:p>
    <w:p>
      <w:pPr>
        <w:spacing w:after="0" w:line="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fully realize the expected cost savings and/or operating efficiencies associated with our strategic initiatives, our profitability could suffer</w:t>
      </w:r>
    </w:p>
    <w:p>
      <w:pPr>
        <w:spacing w:after="0" w:line="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future success and earnings growth depend in part on our ability to achieve the appropriate cost structure and operate efficiently in the highly competitive food industry, particularly in an environment of volatile cost inputs. We are pursuing multi-year cost savings initiatives with targeted annualized cost savings of $850 million for continuing operations by the end of 2022, which includes $295 million in synergies and run-rate cost savings from our acquisition of Snyder's-Lance. These initiatives require a substantial amount of management and operational resources. Our management team must successfully execute the administrative and operational changes necessary to achieve the anticipated benefits of these initiatives, including the integration of Snyder's-Lance in an efficient and effective manner. In some respects, our plans to achieve these cost savings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7"/>
          <w:szCs w:val="17"/>
          <w:color w:val="auto"/>
        </w:rPr>
        <w:t>continue to be refined. See "Management's Discussion and Analysis of Financial Condition and Results of Operation - Restructuring Charges and Cost Savings Initiatives" for additional information on these initiatives. We also regularly pursue cost productivity initiatives. In addition, we have recently initiated a process to drive operational excellence by transforming our supply chain capabilities to build a more resilient and agile supply chain to serve our evolving business needs while enhancing efficiency. These initiatives are focused on cost savings and productivity opportunities in procurement, manufacturing and logistics. Any failure or delaying in implementing our initiatives in accordance with our plans could adversely affect our ability to meet our long-term growth and profitability expectations and could adversely affect our business.</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increase prices to fully offset inflationary pressures on costs, such as raw and packaging materials, labor and distribution costs</w:t>
      </w:r>
    </w:p>
    <w:p>
      <w:pPr>
        <w:spacing w:after="0" w:line="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manufacturer of food and beverage products, we rely on plant labor, distribution resources and raw and packaging materials including tomato paste, grains, beef, poultry, dairy, potatoes and other vegetables, steel, aluminum, glass, paper and resin. In the later part of 2021 and the early part of 2022, the costs of such labor, raw materials, energy, fuel, packaging materials and other inputs necessary for the production and distribution of our products have rapidly increased. In addition, many of these materials are subject to price fluctuations from a number of factors, including but not limited to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 illness (such as the COVID-19 pandemic) and other factors that may be beyond our control. Although we are unable to predict the impact on our ability to source materials in the future, we expect these supply pressures to continue into 2022. We also expect the pressures of input cost inflation to continue into 2022.</w:t>
      </w:r>
    </w:p>
    <w:p>
      <w:pPr>
        <w:spacing w:after="0" w:line="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try to pass along to customers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lower-priced offerings, or may forego some purchases altogether, during an economic downturn. To the extent that price increases or packaging size decreases are not sufficient to offset these increased costs adequately or in a timely manner, and/or if they result in significant decreases in sales volume, our business results and financial condition may be adversely affected. Furthermore, we may not be able to offset any cost increases through productivity initiatives or through our commodity hedging activity.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 to our supply chain could adversely affect our business</w:t>
      </w:r>
    </w:p>
    <w:p>
      <w:pPr>
        <w:spacing w:after="0" w:line="10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increased temperatures due to climate change, water stress, extreme weather events, natural disasters, product or raw material scarcity, fire, terrorism, pandemics (such as the COVID-19 pandemic), strikes, labor shortages, cybersecurity breaches, government shutdowns, disruptions in logistics, supplier capacity constraints or other events. Commodity</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prices have become, and may continue to be, more volatile during the COVID-19 pandemic.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experienced temporary workforce disruptions in our supply chain as a result of the COVID-19 pandemic. We have implemented employee safety measures, which exceed guidance from the Centers for Disease Control and Prevention and World Health Organization, across all our supply chain facilities, including proper hygiene, enhanced sanitation, social distancing, mask use, plexiglass dividers, and temperature screenings. Even with these measures, and the availability of vaccines, given the emergence and spread of COVID-19 variants, there is continued risk that COVID-19 may spread through our workforce. Illness, labor shortages, absenteeism, or other workforce disruptions could negatively affect our supply chain, manufacturing, distribution, or other business processes. We may face additional production disruptions in the future, which may place constraints on our ability to produce products in a timely manner or may increase our costs.</w:t>
      </w:r>
    </w:p>
    <w:p>
      <w:pPr>
        <w:spacing w:after="0" w:line="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Short-term or sustained increases in consumer demand at our retail customers may exceed our production capacity or otherwise strain our supply chain. Our failure to meet the demand for our products could adversely affect our business and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results of operations can be adversely affected by labor shortages, turnover and labor cost increases</w:t>
      </w:r>
    </w:p>
    <w:p>
      <w:pPr>
        <w:spacing w:after="0" w:line="10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Labor is a primary component of operating our business. A number of factors may adversely affect the labor force available to us or increase labor costs, including high employment levels, federal unemployment subsidies, including unemployment benefits offered in response to the COVID-19 pandemic, and other government regulations. Although we have not experienced any material labor shortage to date, we have recently observed an overall tightening and increasingly competitive labor market. A sustained labor shortage or increased turnover rates within our employee base, caused by COVID-19 or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In addition, we distribute our products and receive raw materials primarily by truck. Reduced availability of trucking capacity due to shortages of drivers, primarily as a result of the COVID-19 pandemic, has caused an increase in the cost of transportation for us and our suppliers. An overall labor shortage, lack of skilled labor, increased turnover or labor inflation, caused by COVID-19 or as a result of general macroeconomic factors, could have a material adverse impact on the company’s operations, results of operations, liquidity or cash flows.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rights are valuable, and any inability to protect them could reduce the value of our products and brands</w:t>
      </w:r>
    </w:p>
    <w:p>
      <w:pPr>
        <w:spacing w:after="0" w:line="10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impacted if consumers do not maintain their favorable perception of our brands</w:t>
      </w:r>
    </w:p>
    <w:p>
      <w:pPr>
        <w:spacing w:after="0" w:line="1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disruption, failure or security breach of our information technology systems</w:t>
      </w:r>
    </w:p>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logistics, customer service, accounting and administrative functions and the importance of such networks and systems has increased due to an increase in our employees working remotely. If we do not allocate and effectively manage the resources necessary to build, sustain and protect appropriate information technology systems, our business or financial results could be adversely impacted. Furthermore, our information technology systems are subject to attack or other security breaches (including the access to or acquisition of customer, consumer, employee or other confidential information), service disruptions or other system failures. If we are unable to prevent or adequately respond to and resolve these breaches, disruptions or failures, our operations may be impacted, and we may suffer other adverse consequences such as reputational damage, litigation, remediation costs, ransomware payments and/or penalties under various data protection laws and regulations.</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address the risks to our information technology systems and the associated costs, we maintain an information security program that includes updating technology and security policies, cyber insurance, employee training, and monitoring and routine testing of our information technology systems. We believe that these preventative actions provide adequate measures of protection against security breaches and generally reduce our cybersecurity risks, however, cyber threats are constantly evolving, are becoming more sophisticated and are being made by groups of individuals with a wide range of expertise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motives, which increases the difficulty of detecting and successfully defending against them. We have experienced threats to our data and systems and although we have not experienced a material incident to date, there can be no assurance that these measures will prevent or limit the impact of a future incident. We may incur significant costs in protecting against or remediating cyberattacks or other cyber incidents.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 If these service providers do not perform effectively due to breach or system failure, we may not be able to achieve the expected benefits and our business may be disrupted.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and retain the highly skilled people we need to support our business</w:t>
      </w:r>
    </w:p>
    <w:p>
      <w:pPr>
        <w:spacing w:after="0" w:line="10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may be adversely affected by our inability to complete or realize the projected benefits of acquisitions, divestitures and other strategic transactions</w:t>
      </w:r>
    </w:p>
    <w:p>
      <w:pPr>
        <w:spacing w:after="0" w:line="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historically made strategic acquisition of brands and businesses and we may undertake additional acquisitions or other strategic transactions in the future.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65" w:lineRule="exact"/>
        <w:rPr>
          <w:sz w:val="20"/>
          <w:szCs w:val="20"/>
          <w:color w:val="auto"/>
        </w:rPr>
      </w:pPr>
    </w:p>
    <w:p>
      <w:pPr>
        <w:ind w:left="660" w:right="5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integrate acquired businesses into our existing operations in a timely and cost-efficient manner, including implementation of enterprise-resource planning systems;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employees, suppliers and/or customers of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achieve anticipated benefits, including revenues or other operating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costs of acquired businesses may be greater than expected;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promptly implement an effective control environment;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during the fourth quarter of 2021, we completed the sale of the Plum baby food and snacks business, and we may undertake other</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divestitures in the future. Any other businesses we decide to divest in the future may depend in part on our ability to identify suitable buyers, negotiate favorable financial and other contractual terms and obtain all necessary regulatory approvals on the terms expected. Potential risks of divestitures may also include:</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suppliers and/or customers of divested businesses;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separate divested businesses or business units effectively and efficiently from our existing business operations;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reduce or eliminate associated overhead costs.</w:t>
      </w:r>
    </w:p>
    <w:p>
      <w:pPr>
        <w:spacing w:after="0" w:line="131"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If we are unable to complete or realize the projected benefits of future acquisitions, divestitures or other strategic transactions, our business or financial results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Competitive and Industry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in all our product categories, which may result in lower sales and margins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and some of our competitors may spend more aggressively on advertising and promotional activities than we do. In addition, reduced barriers to entry and easier access to funding are creating new competition. A strong competitive response from one or more of these competitors to our marketplace efforts, or a continued shift towards private label offerings, could result in us reducing prices, increasing marketing or other expenditures, and/or losing market share, each of which may result in lower sales and margins.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In addition, the COVID-19 pandemic has altered, and in some cases, delayed product innovation efforts. Finally, if we fail to rapidly develop products in faster-growing and more profitable categories, we could experience reduced demand for our products, or fail to expand margins.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changing customer landscape and the increased significance of some of our customers</w:t>
      </w:r>
    </w:p>
    <w:p>
      <w:pPr>
        <w:spacing w:after="0" w:line="1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businesses are largely concentrated in the traditional retail grocery trade, which has experienced slower growth than other retail channels, such as dollar stores, drug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2021, our five largest customers accounted for approximately 46% of our consolidated net sales from continuing operations, with the largest customer, Wal-Mart Stores, Inc. and its affiliates, accounting for approximately 21% of our consolidated net sales from continuing operations.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Economic Risks</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 impairment of the carrying value of goodwill or other indefinite-lived intangible assets could adversely affect our financial results and net worth</w:t>
      </w:r>
    </w:p>
    <w:p>
      <w:pPr>
        <w:spacing w:after="0" w:line="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August 1, 2021, we had goodwill of $3,981 million and other indefinite-lived intangible assets of $2,549 million.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the reporting unit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 We have experienced impairment charges in prior years. See "Significant Accounting Estimates" and Note 3 to the Consolidated Financial Statements for additional information on such impairments. If current expectations for growth rates for sales and profits are not met, or other market factors and macroeconomic conditions that could be affected by the COVID-19 pandemic or otherwise were to change, we may be required in the future to record additional impairment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 w:name="page12"/>
    <w:bookmarkEnd w:id="11"/>
    <w:p>
      <w:pPr>
        <w:ind w:right="1620"/>
        <w:spacing w:after="0" w:line="372" w:lineRule="auto"/>
        <w:rPr>
          <w:sz w:val="20"/>
          <w:szCs w:val="20"/>
          <w:color w:val="auto"/>
        </w:rPr>
      </w:pPr>
      <w:r>
        <w:rPr>
          <w:rFonts w:ascii="Arial" w:cs="Arial" w:eastAsia="Arial" w:hAnsi="Arial"/>
          <w:sz w:val="17"/>
          <w:szCs w:val="17"/>
          <w:color w:val="auto"/>
        </w:rPr>
        <w:t xml:space="preserve">carrying value of goodwill or other indefinite-lived intangible assets, which could adversely affect our financial results and net worth. </w:t>
      </w:r>
      <w:r>
        <w:rPr>
          <w:rFonts w:ascii="Arial" w:cs="Arial" w:eastAsia="Arial" w:hAnsi="Arial"/>
          <w:sz w:val="17"/>
          <w:szCs w:val="17"/>
          <w:b w:val="1"/>
          <w:bCs w:val="1"/>
          <w:color w:val="auto"/>
        </w:rPr>
        <w:t>We may be adversely impacted by increased liabilities and costs related to our defined benefit pension plans</w:t>
      </w:r>
    </w:p>
    <w:p>
      <w:pPr>
        <w:spacing w:after="0" w:line="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or future funding requirements could have a material adverse effect on our financial results.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 financial and credit market disruptions and other economic conditions</w:t>
      </w:r>
    </w:p>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Customer and consumer demand for our products may be impacted by weak economic conditions, recession, equity market volatility or other negative economic factors in the U.S. or other nations. Similarly, disruptions in financial and/or credit markets may impact our ability to manage normal commercial</w:t>
      </w:r>
    </w:p>
    <w:p>
      <w:pPr>
        <w:jc w:val="both"/>
        <w:spacing w:after="0" w:line="296" w:lineRule="auto"/>
        <w:rPr>
          <w:sz w:val="20"/>
          <w:szCs w:val="20"/>
          <w:color w:val="auto"/>
        </w:rPr>
      </w:pPr>
      <w:r>
        <w:rPr>
          <w:rFonts w:ascii="Arial" w:cs="Arial" w:eastAsia="Arial" w:hAnsi="Arial"/>
          <w:sz w:val="16"/>
          <w:szCs w:val="16"/>
          <w:color w:val="auto"/>
        </w:rPr>
        <w:t>relationships with our customers, suppliers and creditors and might cause us to not be able to continue to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to our derivative contracts. In addition, changes in tax or interest rates in the U.S. or other nations, whether due to recession, economic disruptions or other reasons, may adversely impact 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legal and regulatory proceedings or claims</w:t>
      </w:r>
    </w:p>
    <w:p>
      <w:pPr>
        <w:spacing w:after="0" w:line="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 party to a variety of legal and regulatory proceedings and claims arising out of the normal course of business. See Note 18 to the Consolidated Financial Statements for information regarding reportable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particular, the marketing of food products has come under increased scrutiny in recent years, and the food industry has been subject to an increasing number of proceedings and claims relating to alleged false or deceptive marketing under federal, state and foreign laws or regulations, including claims relating to the presence of heavy metals in food products. Additionally, the independent contractor distribution model, which is used by Pepperidge Farm and Snyder’s-Lance,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 Furthermore, actions we have taken or may take, as a consequence of the COVID-19 pandemic, may result in investigations, legal claims or litigation against us.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or changes in law could adversely affect our business or financial results</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Department of Labor, the Department of Commerce, the Occupational Safety and Health Administration and the Environmental Protection Agency, as well as various state and local agencies. We are also regulated by similar agencies outside the U.S.</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Governmental and administrative bodies within the U.S. are considering a variety of tax, trade and other regulatory reforms. Trade reforms include tariffs on certain materials used in the manufacture of our products and tariffs on certain finished products. We regularly move data across national and state borders to conduct our operations and, consequently, are subject to a variety of laws and regulations in the U.S. and other jurisdictions regarding privacy, data protection, and data 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Changes in legal or regulatory requirements (such as new food safety requirements and revised regulatory requirements for the labeling of nutrition facts, serving sizes and genetically modified ingredients), or evolving interpretations of existing legal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regulatory requirements, may result in increased compliance cost, capital expenditures and other financial obligations that could adversely affect our business and financial results.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food products become adulterated or are mislabeled, we might need to recall those items, and we may experience product liability claims and damage to our reputation</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Climate change, or legal, regulatory or market measures to address climate change, may negatively affect our business and operations</w:t>
      </w:r>
    </w:p>
    <w:p>
      <w:pPr>
        <w:spacing w:after="0" w:line="1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is growing concern that carbon dioxide and other greenhouse gases in the atmosphere may have an adverse impact on global temperatures, weather patterns, and the frequency and severity of extreme weather and natural disasters. In the event that such climate change has a negative effect on agricultural productivity, we may be subject to decreased availability or less favorable pricing for certain commodities that are necessary for our products, such as wheat, tomatoes, potatoes, cashews and almonds. Adverse weather conditions and natural disasters can reduce crop size and crop quality, which in turn could reduce our supplies of raw materials, lower recoveries of usable raw materials, increase the prices of our raw materials, increase our cost of storing and transporting our raw materials, or disrupt production schedules.</w:t>
      </w:r>
    </w:p>
    <w:p>
      <w:pPr>
        <w:spacing w:after="0" w:line="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also be subjected to decreased availability or less favorable pricing for water as a result of such change, which could impact our manufacturing and distribution operations. In addition, natural disasters and extreme weather conditions may disrupt the productivity of our facilities or the operation of our supply chain. The increasing concern over climate change may also result in more regional, federal, and/or global legal and regulatory requirements relating to climate change, including, regulating greenhouse gas emissions, alternative energy policies and sustainability initiatives, including single use plastics. In the event such regulation is enacted and is more aggressive than the sustainability measures that we are currently undertaking to monitor our emissions and improve our energy efficiency and other sustainability goals, we may experience significant increases in our costs of operation and delivery. In particular, increasing regulation of utility providers, fuel emissions, or fuel suppliers could substantially increase the distribution and supply chain costs associated with our products. Additionally, consumers and customers may put an increased priority on purchasing products that are sustainably grown and made, requiring us to incur increased costs for additional transparency, due diligence and reporting. As a result, climate change could negatively affect our business and results of operations.</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Actions of activist shareholders could cause us to incur substantial costs, divert management's attention and resources and have an adverse effect on our business</w:t>
      </w:r>
    </w:p>
    <w:p>
      <w:pPr>
        <w:spacing w:after="0" w:line="3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were the target of activist shareholder activities in 2019. If a new activist investor purchased our stock, our business could be adversely affected because responding to proxy contests and reacting to other actions by activist shareholders can be costly and time consuming, disruptive to our operations and divert the attention of management and our employees. In addition, perceived uncertainties as to our future direction, strategy or leadership created as a consequence of activist shareholder initiatives may result in the loss of potential business opportunities, harm our ability to attract new investors, customers, employees, suppliers and strategic partners, and cause our share price to experience periods of volatility or stagnation.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Inside the U.S.</w:t>
            </w:r>
          </w:p>
        </w:tc>
        <w:tc>
          <w:tcPr>
            <w:tcW w:w="33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56"/>
        </w:trPr>
        <w:tc>
          <w:tcPr>
            <w:tcW w:w="32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Arizona</w:t>
            </w:r>
          </w:p>
        </w:tc>
        <w:tc>
          <w:tcPr>
            <w:tcW w:w="3320" w:type="dxa"/>
            <w:vAlign w:val="bottom"/>
          </w:tcPr>
          <w:p>
            <w:pPr>
              <w:ind w:left="800"/>
              <w:spacing w:after="0"/>
              <w:rPr>
                <w:sz w:val="20"/>
                <w:szCs w:val="20"/>
                <w:color w:val="auto"/>
              </w:rPr>
            </w:pPr>
            <w:r>
              <w:rPr>
                <w:rFonts w:ascii="Arial" w:cs="Arial" w:eastAsia="Arial" w:hAnsi="Arial"/>
                <w:sz w:val="18"/>
                <w:szCs w:val="18"/>
                <w:b w:val="1"/>
                <w:bCs w:val="1"/>
                <w:i w:val="1"/>
                <w:iCs w:val="1"/>
                <w:color w:val="auto"/>
              </w:rPr>
              <w:t>Indiana</w:t>
            </w:r>
          </w:p>
        </w:tc>
        <w:tc>
          <w:tcPr>
            <w:tcW w:w="2560" w:type="dxa"/>
            <w:vAlign w:val="bottom"/>
          </w:tcPr>
          <w:p>
            <w:pPr>
              <w:ind w:left="1180"/>
              <w:spacing w:after="0"/>
              <w:rPr>
                <w:sz w:val="20"/>
                <w:szCs w:val="20"/>
                <w:color w:val="auto"/>
              </w:rPr>
            </w:pPr>
            <w:r>
              <w:rPr>
                <w:rFonts w:ascii="Arial" w:cs="Arial" w:eastAsia="Arial" w:hAnsi="Arial"/>
                <w:sz w:val="18"/>
                <w:szCs w:val="18"/>
                <w:b w:val="1"/>
                <w:bCs w:val="1"/>
                <w:i w:val="1"/>
                <w:iCs w:val="1"/>
                <w:color w:val="auto"/>
              </w:rPr>
              <w:t>Pennsylvania</w:t>
            </w: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Goodyear (S)</w:t>
            </w:r>
          </w:p>
        </w:tc>
        <w:tc>
          <w:tcPr>
            <w:tcW w:w="3320" w:type="dxa"/>
            <w:vAlign w:val="bottom"/>
          </w:tcPr>
          <w:p>
            <w:pPr>
              <w:ind w:left="900"/>
              <w:spacing w:after="0"/>
              <w:rPr>
                <w:sz w:val="20"/>
                <w:szCs w:val="20"/>
                <w:color w:val="auto"/>
              </w:rPr>
            </w:pPr>
            <w:r>
              <w:rPr>
                <w:rFonts w:ascii="Arial" w:cs="Arial" w:eastAsia="Arial" w:hAnsi="Arial"/>
                <w:sz w:val="18"/>
                <w:szCs w:val="18"/>
                <w:color w:val="auto"/>
              </w:rPr>
              <w:t>Jeffersonville (S)</w:t>
            </w:r>
          </w:p>
        </w:tc>
        <w:tc>
          <w:tcPr>
            <w:tcW w:w="2560" w:type="dxa"/>
            <w:vAlign w:val="bottom"/>
          </w:tcPr>
          <w:p>
            <w:pPr>
              <w:ind w:left="1260"/>
              <w:spacing w:after="0"/>
              <w:rPr>
                <w:sz w:val="20"/>
                <w:szCs w:val="20"/>
                <w:color w:val="auto"/>
              </w:rPr>
            </w:pPr>
            <w:r>
              <w:rPr>
                <w:rFonts w:ascii="Arial" w:cs="Arial" w:eastAsia="Arial" w:hAnsi="Arial"/>
                <w:sz w:val="18"/>
                <w:szCs w:val="18"/>
                <w:color w:val="auto"/>
              </w:rPr>
              <w:t>Denver (S)</w:t>
            </w:r>
          </w:p>
        </w:tc>
      </w:tr>
      <w:tr>
        <w:trPr>
          <w:trHeight w:val="229"/>
        </w:trPr>
        <w:tc>
          <w:tcPr>
            <w:tcW w:w="32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California</w:t>
            </w:r>
          </w:p>
        </w:tc>
        <w:tc>
          <w:tcPr>
            <w:tcW w:w="3320" w:type="dxa"/>
            <w:vAlign w:val="bottom"/>
          </w:tcPr>
          <w:p>
            <w:pPr>
              <w:ind w:left="800"/>
              <w:spacing w:after="0"/>
              <w:rPr>
                <w:sz w:val="20"/>
                <w:szCs w:val="20"/>
                <w:color w:val="auto"/>
              </w:rPr>
            </w:pPr>
            <w:r>
              <w:rPr>
                <w:rFonts w:ascii="Arial" w:cs="Arial" w:eastAsia="Arial" w:hAnsi="Arial"/>
                <w:sz w:val="18"/>
                <w:szCs w:val="18"/>
                <w:b w:val="1"/>
                <w:bCs w:val="1"/>
                <w:i w:val="1"/>
                <w:iCs w:val="1"/>
                <w:color w:val="auto"/>
              </w:rPr>
              <w:t>Massachusetts</w:t>
            </w:r>
          </w:p>
        </w:tc>
        <w:tc>
          <w:tcPr>
            <w:tcW w:w="2560" w:type="dxa"/>
            <w:vAlign w:val="bottom"/>
          </w:tcPr>
          <w:p>
            <w:pPr>
              <w:ind w:left="1260"/>
              <w:spacing w:after="0"/>
              <w:rPr>
                <w:sz w:val="20"/>
                <w:szCs w:val="20"/>
                <w:color w:val="auto"/>
              </w:rPr>
            </w:pPr>
            <w:r>
              <w:rPr>
                <w:rFonts w:ascii="Arial" w:cs="Arial" w:eastAsia="Arial" w:hAnsi="Arial"/>
                <w:sz w:val="18"/>
                <w:szCs w:val="18"/>
                <w:color w:val="auto"/>
                <w:w w:val="93"/>
              </w:rPr>
              <w:t>Downingtown (S)</w:t>
            </w: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Dixon (MB)</w:t>
            </w:r>
          </w:p>
        </w:tc>
        <w:tc>
          <w:tcPr>
            <w:tcW w:w="3320" w:type="dxa"/>
            <w:vAlign w:val="bottom"/>
          </w:tcPr>
          <w:p>
            <w:pPr>
              <w:ind w:left="900"/>
              <w:spacing w:after="0"/>
              <w:rPr>
                <w:sz w:val="20"/>
                <w:szCs w:val="20"/>
                <w:color w:val="auto"/>
              </w:rPr>
            </w:pPr>
            <w:r>
              <w:rPr>
                <w:rFonts w:ascii="Arial" w:cs="Arial" w:eastAsia="Arial" w:hAnsi="Arial"/>
                <w:sz w:val="18"/>
                <w:szCs w:val="18"/>
                <w:color w:val="auto"/>
              </w:rPr>
              <w:t>Hyannis (S)</w:t>
            </w:r>
          </w:p>
        </w:tc>
        <w:tc>
          <w:tcPr>
            <w:tcW w:w="2560" w:type="dxa"/>
            <w:vAlign w:val="bottom"/>
          </w:tcPr>
          <w:p>
            <w:pPr>
              <w:ind w:left="1260"/>
              <w:spacing w:after="0"/>
              <w:rPr>
                <w:sz w:val="20"/>
                <w:szCs w:val="20"/>
                <w:color w:val="auto"/>
              </w:rPr>
            </w:pPr>
            <w:r>
              <w:rPr>
                <w:rFonts w:ascii="Arial" w:cs="Arial" w:eastAsia="Arial" w:hAnsi="Arial"/>
                <w:sz w:val="18"/>
                <w:szCs w:val="18"/>
                <w:color w:val="auto"/>
              </w:rPr>
              <w:t>Hanover (S)</w:t>
            </w:r>
          </w:p>
        </w:tc>
      </w:tr>
      <w:tr>
        <w:trPr>
          <w:trHeight w:val="229"/>
        </w:trPr>
        <w:tc>
          <w:tcPr>
            <w:tcW w:w="3240" w:type="dxa"/>
            <w:vAlign w:val="bottom"/>
          </w:tcPr>
          <w:p>
            <w:pPr>
              <w:ind w:left="200"/>
              <w:spacing w:after="0"/>
              <w:rPr>
                <w:sz w:val="20"/>
                <w:szCs w:val="20"/>
                <w:color w:val="auto"/>
              </w:rPr>
            </w:pPr>
            <w:r>
              <w:rPr>
                <w:rFonts w:ascii="Arial" w:cs="Arial" w:eastAsia="Arial" w:hAnsi="Arial"/>
                <w:sz w:val="18"/>
                <w:szCs w:val="18"/>
                <w:color w:val="auto"/>
              </w:rPr>
              <w:t>Stockton (MB)</w:t>
            </w:r>
          </w:p>
        </w:tc>
        <w:tc>
          <w:tcPr>
            <w:tcW w:w="3320" w:type="dxa"/>
            <w:vAlign w:val="bottom"/>
          </w:tcPr>
          <w:p>
            <w:pPr>
              <w:ind w:left="800"/>
              <w:spacing w:after="0"/>
              <w:rPr>
                <w:sz w:val="20"/>
                <w:szCs w:val="20"/>
                <w:color w:val="auto"/>
              </w:rPr>
            </w:pPr>
            <w:r>
              <w:rPr>
                <w:rFonts w:ascii="Arial" w:cs="Arial" w:eastAsia="Arial" w:hAnsi="Arial"/>
                <w:sz w:val="18"/>
                <w:szCs w:val="18"/>
                <w:b w:val="1"/>
                <w:bCs w:val="1"/>
                <w:i w:val="1"/>
                <w:iCs w:val="1"/>
                <w:color w:val="auto"/>
              </w:rPr>
              <w:t>North Carolina</w:t>
            </w:r>
          </w:p>
        </w:tc>
        <w:tc>
          <w:tcPr>
            <w:tcW w:w="2560" w:type="dxa"/>
            <w:vAlign w:val="bottom"/>
          </w:tcPr>
          <w:p>
            <w:pPr>
              <w:ind w:left="1180"/>
              <w:spacing w:after="0"/>
              <w:rPr>
                <w:sz w:val="20"/>
                <w:szCs w:val="20"/>
                <w:color w:val="auto"/>
              </w:rPr>
            </w:pPr>
            <w:r>
              <w:rPr>
                <w:rFonts w:ascii="Arial" w:cs="Arial" w:eastAsia="Arial" w:hAnsi="Arial"/>
                <w:sz w:val="18"/>
                <w:szCs w:val="18"/>
                <w:b w:val="1"/>
                <w:bCs w:val="1"/>
                <w:i w:val="1"/>
                <w:iCs w:val="1"/>
                <w:color w:val="auto"/>
              </w:rPr>
              <w:t>Texas</w:t>
            </w:r>
          </w:p>
        </w:tc>
      </w:tr>
      <w:tr>
        <w:trPr>
          <w:trHeight w:val="229"/>
        </w:trPr>
        <w:tc>
          <w:tcPr>
            <w:tcW w:w="32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Connecticut</w:t>
            </w:r>
          </w:p>
        </w:tc>
        <w:tc>
          <w:tcPr>
            <w:tcW w:w="3320" w:type="dxa"/>
            <w:vAlign w:val="bottom"/>
          </w:tcPr>
          <w:p>
            <w:pPr>
              <w:ind w:left="900"/>
              <w:spacing w:after="0"/>
              <w:rPr>
                <w:sz w:val="20"/>
                <w:szCs w:val="20"/>
                <w:color w:val="auto"/>
              </w:rPr>
            </w:pPr>
            <w:r>
              <w:rPr>
                <w:rFonts w:ascii="Arial" w:cs="Arial" w:eastAsia="Arial" w:hAnsi="Arial"/>
                <w:sz w:val="18"/>
                <w:szCs w:val="18"/>
                <w:color w:val="auto"/>
              </w:rPr>
              <w:t>Charlotte (S)</w:t>
            </w:r>
          </w:p>
        </w:tc>
        <w:tc>
          <w:tcPr>
            <w:tcW w:w="2560" w:type="dxa"/>
            <w:vAlign w:val="bottom"/>
          </w:tcPr>
          <w:p>
            <w:pPr>
              <w:ind w:left="1260"/>
              <w:spacing w:after="0"/>
              <w:rPr>
                <w:sz w:val="20"/>
                <w:szCs w:val="20"/>
                <w:color w:val="auto"/>
              </w:rPr>
            </w:pPr>
            <w:r>
              <w:rPr>
                <w:rFonts w:ascii="Arial" w:cs="Arial" w:eastAsia="Arial" w:hAnsi="Arial"/>
                <w:sz w:val="18"/>
                <w:szCs w:val="18"/>
                <w:color w:val="auto"/>
              </w:rPr>
              <w:t>Paris (MB)</w:t>
            </w: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Bloomfield (S)</w:t>
            </w:r>
          </w:p>
        </w:tc>
        <w:tc>
          <w:tcPr>
            <w:tcW w:w="3320" w:type="dxa"/>
            <w:vAlign w:val="bottom"/>
          </w:tcPr>
          <w:p>
            <w:pPr>
              <w:ind w:left="900"/>
              <w:spacing w:after="0"/>
              <w:rPr>
                <w:sz w:val="20"/>
                <w:szCs w:val="20"/>
                <w:color w:val="auto"/>
              </w:rPr>
            </w:pPr>
            <w:r>
              <w:rPr>
                <w:rFonts w:ascii="Arial" w:cs="Arial" w:eastAsia="Arial" w:hAnsi="Arial"/>
                <w:sz w:val="18"/>
                <w:szCs w:val="18"/>
                <w:color w:val="auto"/>
              </w:rPr>
              <w:t>Maxton (MB)</w:t>
            </w:r>
          </w:p>
        </w:tc>
        <w:tc>
          <w:tcPr>
            <w:tcW w:w="2560" w:type="dxa"/>
            <w:vAlign w:val="bottom"/>
          </w:tcPr>
          <w:p>
            <w:pPr>
              <w:ind w:left="1180"/>
              <w:spacing w:after="0"/>
              <w:rPr>
                <w:sz w:val="20"/>
                <w:szCs w:val="20"/>
                <w:color w:val="auto"/>
              </w:rPr>
            </w:pPr>
            <w:r>
              <w:rPr>
                <w:rFonts w:ascii="Arial" w:cs="Arial" w:eastAsia="Arial" w:hAnsi="Arial"/>
                <w:sz w:val="18"/>
                <w:szCs w:val="18"/>
                <w:b w:val="1"/>
                <w:bCs w:val="1"/>
                <w:i w:val="1"/>
                <w:iCs w:val="1"/>
                <w:color w:val="auto"/>
              </w:rPr>
              <w:t>Utah</w:t>
            </w:r>
          </w:p>
        </w:tc>
      </w:tr>
      <w:tr>
        <w:trPr>
          <w:trHeight w:val="229"/>
        </w:trPr>
        <w:tc>
          <w:tcPr>
            <w:tcW w:w="32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Florida</w:t>
            </w:r>
          </w:p>
        </w:tc>
        <w:tc>
          <w:tcPr>
            <w:tcW w:w="3320" w:type="dxa"/>
            <w:vAlign w:val="bottom"/>
          </w:tcPr>
          <w:p>
            <w:pPr>
              <w:ind w:left="800"/>
              <w:spacing w:after="0"/>
              <w:rPr>
                <w:sz w:val="20"/>
                <w:szCs w:val="20"/>
                <w:color w:val="auto"/>
              </w:rPr>
            </w:pPr>
            <w:r>
              <w:rPr>
                <w:rFonts w:ascii="Arial" w:cs="Arial" w:eastAsia="Arial" w:hAnsi="Arial"/>
                <w:sz w:val="18"/>
                <w:szCs w:val="18"/>
                <w:b w:val="1"/>
                <w:bCs w:val="1"/>
                <w:i w:val="1"/>
                <w:iCs w:val="1"/>
                <w:color w:val="auto"/>
              </w:rPr>
              <w:t>Ohio</w:t>
            </w:r>
          </w:p>
        </w:tc>
        <w:tc>
          <w:tcPr>
            <w:tcW w:w="2560" w:type="dxa"/>
            <w:vAlign w:val="bottom"/>
          </w:tcPr>
          <w:p>
            <w:pPr>
              <w:ind w:left="1260"/>
              <w:spacing w:after="0"/>
              <w:rPr>
                <w:sz w:val="20"/>
                <w:szCs w:val="20"/>
                <w:color w:val="auto"/>
              </w:rPr>
            </w:pPr>
            <w:r>
              <w:rPr>
                <w:rFonts w:ascii="Arial" w:cs="Arial" w:eastAsia="Arial" w:hAnsi="Arial"/>
                <w:sz w:val="18"/>
                <w:szCs w:val="18"/>
                <w:color w:val="auto"/>
              </w:rPr>
              <w:t>Richmond (S)</w:t>
            </w:r>
          </w:p>
        </w:tc>
      </w:tr>
      <w:tr>
        <w:trPr>
          <w:trHeight w:val="229"/>
        </w:trPr>
        <w:tc>
          <w:tcPr>
            <w:tcW w:w="3240" w:type="dxa"/>
            <w:vAlign w:val="bottom"/>
          </w:tcPr>
          <w:p>
            <w:pPr>
              <w:ind w:left="200"/>
              <w:spacing w:after="0"/>
              <w:rPr>
                <w:sz w:val="20"/>
                <w:szCs w:val="20"/>
                <w:color w:val="auto"/>
              </w:rPr>
            </w:pPr>
            <w:r>
              <w:rPr>
                <w:rFonts w:ascii="Arial" w:cs="Arial" w:eastAsia="Arial" w:hAnsi="Arial"/>
                <w:sz w:val="18"/>
                <w:szCs w:val="18"/>
                <w:color w:val="auto"/>
              </w:rPr>
              <w:t>Lakeland (S)</w:t>
            </w:r>
          </w:p>
        </w:tc>
        <w:tc>
          <w:tcPr>
            <w:tcW w:w="3320" w:type="dxa"/>
            <w:vAlign w:val="bottom"/>
          </w:tcPr>
          <w:p>
            <w:pPr>
              <w:ind w:left="900"/>
              <w:spacing w:after="0"/>
              <w:rPr>
                <w:sz w:val="20"/>
                <w:szCs w:val="20"/>
                <w:color w:val="auto"/>
              </w:rPr>
            </w:pPr>
            <w:r>
              <w:rPr>
                <w:rFonts w:ascii="Arial" w:cs="Arial" w:eastAsia="Arial" w:hAnsi="Arial"/>
                <w:sz w:val="18"/>
                <w:szCs w:val="18"/>
                <w:color w:val="auto"/>
              </w:rPr>
              <w:t>Ashland (S)</w:t>
            </w:r>
          </w:p>
        </w:tc>
        <w:tc>
          <w:tcPr>
            <w:tcW w:w="2560" w:type="dxa"/>
            <w:vAlign w:val="bottom"/>
          </w:tcPr>
          <w:p>
            <w:pPr>
              <w:ind w:left="1180"/>
              <w:spacing w:after="0"/>
              <w:rPr>
                <w:sz w:val="20"/>
                <w:szCs w:val="20"/>
                <w:color w:val="auto"/>
              </w:rPr>
            </w:pPr>
            <w:r>
              <w:rPr>
                <w:rFonts w:ascii="Arial" w:cs="Arial" w:eastAsia="Arial" w:hAnsi="Arial"/>
                <w:sz w:val="18"/>
                <w:szCs w:val="18"/>
                <w:b w:val="1"/>
                <w:bCs w:val="1"/>
                <w:i w:val="1"/>
                <w:iCs w:val="1"/>
                <w:color w:val="auto"/>
              </w:rPr>
              <w:t>Wisconsin</w:t>
            </w: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Georgia</w:t>
            </w:r>
          </w:p>
        </w:tc>
        <w:tc>
          <w:tcPr>
            <w:tcW w:w="3320" w:type="dxa"/>
            <w:vAlign w:val="bottom"/>
          </w:tcPr>
          <w:p>
            <w:pPr>
              <w:ind w:left="900"/>
              <w:spacing w:after="0"/>
              <w:rPr>
                <w:sz w:val="20"/>
                <w:szCs w:val="20"/>
                <w:color w:val="auto"/>
              </w:rPr>
            </w:pPr>
            <w:r>
              <w:rPr>
                <w:rFonts w:ascii="Arial" w:cs="Arial" w:eastAsia="Arial" w:hAnsi="Arial"/>
                <w:sz w:val="18"/>
                <w:szCs w:val="18"/>
                <w:color w:val="auto"/>
              </w:rPr>
              <w:t>Napoleon (MB)</w:t>
            </w:r>
          </w:p>
        </w:tc>
        <w:tc>
          <w:tcPr>
            <w:tcW w:w="2560" w:type="dxa"/>
            <w:vAlign w:val="bottom"/>
          </w:tcPr>
          <w:p>
            <w:pPr>
              <w:ind w:left="1260"/>
              <w:spacing w:after="0"/>
              <w:rPr>
                <w:sz w:val="20"/>
                <w:szCs w:val="20"/>
                <w:color w:val="auto"/>
              </w:rPr>
            </w:pPr>
            <w:r>
              <w:rPr>
                <w:rFonts w:ascii="Arial" w:cs="Arial" w:eastAsia="Arial" w:hAnsi="Arial"/>
                <w:sz w:val="18"/>
                <w:szCs w:val="18"/>
                <w:color w:val="auto"/>
              </w:rPr>
              <w:t>Beloit (S)</w:t>
            </w:r>
          </w:p>
        </w:tc>
      </w:tr>
      <w:tr>
        <w:trPr>
          <w:trHeight w:val="229"/>
        </w:trPr>
        <w:tc>
          <w:tcPr>
            <w:tcW w:w="3240" w:type="dxa"/>
            <w:vAlign w:val="bottom"/>
          </w:tcPr>
          <w:p>
            <w:pPr>
              <w:ind w:left="200"/>
              <w:spacing w:after="0"/>
              <w:rPr>
                <w:sz w:val="20"/>
                <w:szCs w:val="20"/>
                <w:color w:val="auto"/>
              </w:rPr>
            </w:pPr>
            <w:r>
              <w:rPr>
                <w:rFonts w:ascii="Arial" w:cs="Arial" w:eastAsia="Arial" w:hAnsi="Arial"/>
                <w:sz w:val="18"/>
                <w:szCs w:val="18"/>
                <w:color w:val="auto"/>
              </w:rPr>
              <w:t>Columbus (S)</w:t>
            </w:r>
          </w:p>
        </w:tc>
        <w:tc>
          <w:tcPr>
            <w:tcW w:w="3320" w:type="dxa"/>
            <w:vAlign w:val="bottom"/>
          </w:tcPr>
          <w:p>
            <w:pPr>
              <w:ind w:left="900"/>
              <w:spacing w:after="0"/>
              <w:rPr>
                <w:sz w:val="20"/>
                <w:szCs w:val="20"/>
                <w:color w:val="auto"/>
              </w:rPr>
            </w:pPr>
            <w:r>
              <w:rPr>
                <w:rFonts w:ascii="Arial" w:cs="Arial" w:eastAsia="Arial" w:hAnsi="Arial"/>
                <w:sz w:val="18"/>
                <w:szCs w:val="18"/>
                <w:color w:val="auto"/>
              </w:rPr>
              <w:t>Willard (S)</w:t>
            </w:r>
          </w:p>
        </w:tc>
        <w:tc>
          <w:tcPr>
            <w:tcW w:w="2560" w:type="dxa"/>
            <w:vAlign w:val="bottom"/>
          </w:tcPr>
          <w:p>
            <w:pPr>
              <w:ind w:left="1260"/>
              <w:spacing w:after="0"/>
              <w:rPr>
                <w:sz w:val="20"/>
                <w:szCs w:val="20"/>
                <w:color w:val="auto"/>
              </w:rPr>
            </w:pPr>
            <w:r>
              <w:rPr>
                <w:rFonts w:ascii="Arial" w:cs="Arial" w:eastAsia="Arial" w:hAnsi="Arial"/>
                <w:sz w:val="18"/>
                <w:szCs w:val="18"/>
                <w:color w:val="auto"/>
              </w:rPr>
              <w:t>Franklin (S)</w:t>
            </w: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Illinois</w:t>
            </w:r>
          </w:p>
        </w:tc>
        <w:tc>
          <w:tcPr>
            <w:tcW w:w="3320" w:type="dxa"/>
            <w:vAlign w:val="bottom"/>
          </w:tcPr>
          <w:p>
            <w:pPr>
              <w:ind w:left="800"/>
              <w:spacing w:after="0"/>
              <w:rPr>
                <w:sz w:val="20"/>
                <w:szCs w:val="20"/>
                <w:color w:val="auto"/>
              </w:rPr>
            </w:pPr>
            <w:r>
              <w:rPr>
                <w:rFonts w:ascii="Arial" w:cs="Arial" w:eastAsia="Arial" w:hAnsi="Arial"/>
                <w:sz w:val="18"/>
                <w:szCs w:val="18"/>
                <w:b w:val="1"/>
                <w:bCs w:val="1"/>
                <w:i w:val="1"/>
                <w:iCs w:val="1"/>
                <w:color w:val="auto"/>
              </w:rPr>
              <w:t>Oregon</w:t>
            </w:r>
          </w:p>
        </w:tc>
        <w:tc>
          <w:tcPr>
            <w:tcW w:w="2560" w:type="dxa"/>
            <w:vAlign w:val="bottom"/>
          </w:tcPr>
          <w:p>
            <w:pPr>
              <w:ind w:left="1260"/>
              <w:spacing w:after="0"/>
              <w:rPr>
                <w:sz w:val="20"/>
                <w:szCs w:val="20"/>
                <w:color w:val="auto"/>
              </w:rPr>
            </w:pPr>
            <w:r>
              <w:rPr>
                <w:rFonts w:ascii="Arial" w:cs="Arial" w:eastAsia="Arial" w:hAnsi="Arial"/>
                <w:sz w:val="18"/>
                <w:szCs w:val="18"/>
                <w:color w:val="auto"/>
                <w:w w:val="99"/>
              </w:rPr>
              <w:t>Milwaukee (MB)</w:t>
            </w:r>
          </w:p>
        </w:tc>
      </w:tr>
      <w:tr>
        <w:trPr>
          <w:trHeight w:val="229"/>
        </w:trPr>
        <w:tc>
          <w:tcPr>
            <w:tcW w:w="3240" w:type="dxa"/>
            <w:vAlign w:val="bottom"/>
          </w:tcPr>
          <w:p>
            <w:pPr>
              <w:ind w:left="200"/>
              <w:spacing w:after="0"/>
              <w:rPr>
                <w:sz w:val="20"/>
                <w:szCs w:val="20"/>
                <w:color w:val="auto"/>
              </w:rPr>
            </w:pPr>
            <w:r>
              <w:rPr>
                <w:rFonts w:ascii="Arial" w:cs="Arial" w:eastAsia="Arial" w:hAnsi="Arial"/>
                <w:sz w:val="18"/>
                <w:szCs w:val="18"/>
                <w:color w:val="auto"/>
              </w:rPr>
              <w:t>Downers Grove (S)</w:t>
            </w:r>
          </w:p>
        </w:tc>
        <w:tc>
          <w:tcPr>
            <w:tcW w:w="3320" w:type="dxa"/>
            <w:vAlign w:val="bottom"/>
          </w:tcPr>
          <w:p>
            <w:pPr>
              <w:ind w:left="900"/>
              <w:spacing w:after="0"/>
              <w:rPr>
                <w:sz w:val="20"/>
                <w:szCs w:val="20"/>
                <w:color w:val="auto"/>
              </w:rPr>
            </w:pPr>
            <w:r>
              <w:rPr>
                <w:rFonts w:ascii="Arial" w:cs="Arial" w:eastAsia="Arial" w:hAnsi="Arial"/>
                <w:sz w:val="18"/>
                <w:szCs w:val="18"/>
                <w:color w:val="auto"/>
              </w:rPr>
              <w:t>Salem (S)</w:t>
            </w:r>
          </w:p>
        </w:tc>
        <w:tc>
          <w:tcPr>
            <w:tcW w:w="256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3320" w:type="dxa"/>
            <w:vAlign w:val="bottom"/>
          </w:tcPr>
          <w:p>
            <w:pPr>
              <w:ind w:left="900"/>
              <w:spacing w:after="0"/>
              <w:rPr>
                <w:sz w:val="20"/>
                <w:szCs w:val="20"/>
                <w:color w:val="auto"/>
              </w:rPr>
            </w:pPr>
            <w:r>
              <w:rPr>
                <w:rFonts w:ascii="Arial" w:cs="Arial" w:eastAsia="Arial" w:hAnsi="Arial"/>
                <w:sz w:val="18"/>
                <w:szCs w:val="18"/>
                <w:color w:val="auto"/>
              </w:rPr>
              <w:t>Tualatin (MB)</w:t>
            </w:r>
          </w:p>
        </w:tc>
        <w:tc>
          <w:tcPr>
            <w:tcW w:w="2560" w:type="dxa"/>
            <w:vAlign w:val="bottom"/>
          </w:tcPr>
          <w:p>
            <w:pPr>
              <w:spacing w:after="0"/>
              <w:rPr>
                <w:sz w:val="20"/>
                <w:szCs w:val="20"/>
                <w:color w:val="auto"/>
              </w:rPr>
            </w:pPr>
          </w:p>
        </w:tc>
      </w:tr>
      <w:tr>
        <w:trPr>
          <w:trHeight w:val="310"/>
        </w:trPr>
        <w:tc>
          <w:tcPr>
            <w:tcW w:w="3240" w:type="dxa"/>
            <w:vAlign w:val="bottom"/>
          </w:tcPr>
          <w:p>
            <w:pPr>
              <w:spacing w:after="0"/>
              <w:rPr>
                <w:sz w:val="20"/>
                <w:szCs w:val="20"/>
                <w:color w:val="auto"/>
              </w:rPr>
            </w:pPr>
            <w:r>
              <w:rPr>
                <w:rFonts w:ascii="Arial" w:cs="Arial" w:eastAsia="Arial" w:hAnsi="Arial"/>
                <w:sz w:val="16"/>
                <w:szCs w:val="16"/>
                <w:color w:val="auto"/>
              </w:rPr>
              <w:t>______________________________</w:t>
            </w:r>
          </w:p>
        </w:tc>
        <w:tc>
          <w:tcPr>
            <w:tcW w:w="3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MB - Meals &amp; Beverages</w:t>
            </w:r>
          </w:p>
        </w:tc>
        <w:tc>
          <w:tcPr>
            <w:tcW w:w="33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S - Snacks</w:t>
            </w:r>
          </w:p>
        </w:tc>
        <w:tc>
          <w:tcPr>
            <w:tcW w:w="332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the foregoing manufacturing facilities is company-owned, except the Tualatin, Oregon facility, which is leased. We also maintain principal business unit offices in Charlotte, North Carolina; Doral, Florida; Hanover, Pennsylvania; Norwalk, Connecticut; Tualatin, Oregon; and Mississauga, Canada.</w:t>
      </w:r>
    </w:p>
    <w:p>
      <w:pPr>
        <w:spacing w:after="0" w:line="49"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6"/>
          <w:szCs w:val="16"/>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18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section below provides information regarding our executive officers as of September 15,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419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419735"/>
                    </a:xfrm>
                    <a:prstGeom prst="rect">
                      <a:avLst/>
                    </a:prstGeom>
                    <a:noFill/>
                  </pic:spPr>
                </pic:pic>
              </a:graphicData>
            </a:graphic>
          </wp:anchor>
        </w:drawing>
      </w:r>
    </w:p>
    <w:p>
      <w:pPr>
        <w:spacing w:after="0" w:line="20" w:lineRule="exact"/>
        <w:rPr>
          <w:sz w:val="20"/>
          <w:szCs w:val="20"/>
          <w:color w:val="auto"/>
        </w:rPr>
      </w:pPr>
    </w:p>
    <w:p>
      <w:pPr>
        <w:ind w:left="40"/>
        <w:spacing w:after="0" w:line="248" w:lineRule="auto"/>
        <w:rPr>
          <w:sz w:val="20"/>
          <w:szCs w:val="20"/>
          <w:color w:val="auto"/>
        </w:rPr>
      </w:pPr>
      <w:r>
        <w:rPr>
          <w:rFonts w:ascii="Arial" w:cs="Arial" w:eastAsia="Arial" w:hAnsi="Arial"/>
          <w:sz w:val="18"/>
          <w:szCs w:val="18"/>
          <w:color w:val="auto"/>
        </w:rPr>
        <w:t>Mick J. Beekhuizen, Executive Vice President and Chief Financial Officer. Executive Vice President and Chief Financial Officer, Chobani LLC (2016-2019). Executive Vice President and Chief Financial Officer, Education Management Corporation (2013-2016).</w:t>
      </w:r>
    </w:p>
    <w:p>
      <w:pPr>
        <w:spacing w:after="0" w:line="6" w:lineRule="exact"/>
        <w:rPr>
          <w:sz w:val="20"/>
          <w:szCs w:val="20"/>
          <w:color w:val="auto"/>
        </w:rPr>
      </w:pPr>
    </w:p>
    <w:p>
      <w:pPr>
        <w:ind w:left="40" w:right="180"/>
        <w:spacing w:after="0" w:line="256" w:lineRule="auto"/>
        <w:rPr>
          <w:sz w:val="20"/>
          <w:szCs w:val="20"/>
          <w:color w:val="auto"/>
        </w:rPr>
      </w:pPr>
      <w:r>
        <w:rPr>
          <w:rFonts w:ascii="Arial" w:cs="Arial" w:eastAsia="Arial" w:hAnsi="Arial"/>
          <w:sz w:val="17"/>
          <w:szCs w:val="17"/>
          <w:color w:val="auto"/>
        </w:rPr>
        <w:t>Xavier F. Boza, Executive Vice President and Chief Human Resources Officer. Vice President, Human Resources of Campbell Soup Company (2015-2018). Regional Vice President, Human Resources of Kellogg Company (2013-2015).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right="800"/>
        <w:spacing w:after="0" w:line="281" w:lineRule="auto"/>
        <w:rPr>
          <w:sz w:val="20"/>
          <w:szCs w:val="20"/>
          <w:color w:val="auto"/>
        </w:rPr>
      </w:pPr>
      <w:r>
        <w:rPr>
          <w:rFonts w:ascii="Arial" w:cs="Arial" w:eastAsia="Arial" w:hAnsi="Arial"/>
          <w:sz w:val="17"/>
          <w:szCs w:val="17"/>
          <w:color w:val="auto"/>
        </w:rPr>
        <w:t>Adam G. Ciongoli, Executive Vice President, General Counsel and Chief Sustainability, Corporate Responsibility and Governance Officer. Executive Vice President and General Counsel of Lincoln Financial Group (2012-2015).</w:t>
      </w:r>
    </w:p>
    <w:p>
      <w:pPr>
        <w:spacing w:after="0" w:line="1" w:lineRule="exact"/>
        <w:rPr>
          <w:sz w:val="20"/>
          <w:szCs w:val="20"/>
          <w:color w:val="auto"/>
        </w:rPr>
      </w:pPr>
    </w:p>
    <w:p>
      <w:pPr>
        <w:ind w:left="40" w:right="20"/>
        <w:spacing w:after="0" w:line="299" w:lineRule="auto"/>
        <w:rPr>
          <w:sz w:val="20"/>
          <w:szCs w:val="20"/>
          <w:color w:val="auto"/>
        </w:rPr>
      </w:pPr>
      <w:r>
        <w:rPr>
          <w:rFonts w:ascii="Arial" w:cs="Arial" w:eastAsia="Arial" w:hAnsi="Arial"/>
          <w:sz w:val="16"/>
          <w:szCs w:val="16"/>
          <w:color w:val="auto"/>
        </w:rPr>
        <w:t>Mark A. Clouse, President and Chief Executive Officer. Chief Executive Officer of Pinnacle Foods, Inc. (2016-2018). Chief Commercial Officer (2016) and Executive Vice President and Chief Growth Officer (2014-2016) of Mondelez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spacing w:after="0" w:line="258" w:lineRule="auto"/>
        <w:rPr>
          <w:sz w:val="20"/>
          <w:szCs w:val="20"/>
          <w:color w:val="auto"/>
        </w:rPr>
      </w:pPr>
      <w:r>
        <w:rPr>
          <w:rFonts w:ascii="Arial" w:cs="Arial" w:eastAsia="Arial" w:hAnsi="Arial"/>
          <w:sz w:val="18"/>
          <w:szCs w:val="18"/>
          <w:color w:val="auto"/>
        </w:rPr>
        <w:t>Christopher D. Foley, Executive Vice President and President, Meals &amp; Beverages. We have employed Mr. Foley in an executive or managerial capacity for at least five years.</w:t>
      </w:r>
    </w:p>
    <w:p>
      <w:pPr>
        <w:ind w:left="40" w:right="120"/>
        <w:spacing w:after="0" w:line="235" w:lineRule="auto"/>
        <w:rPr>
          <w:sz w:val="20"/>
          <w:szCs w:val="20"/>
          <w:color w:val="auto"/>
        </w:rPr>
      </w:pPr>
      <w:r>
        <w:rPr>
          <w:rFonts w:ascii="Arial" w:cs="Arial" w:eastAsia="Arial" w:hAnsi="Arial"/>
          <w:sz w:val="18"/>
          <w:szCs w:val="18"/>
          <w:color w:val="auto"/>
        </w:rPr>
        <w:t>Robert J. Furbee, Executive Vice President, Global Supply Chain. We have employed Mr. Furbee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Valerie J. Oswalt, Executive Vice President and President, Snacks. Chief Executive Officer, Century Snacks (2018-2020).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President, Mondelez North America Confections (2017-2018). President, Mondelez North America Sales (2015-2017).</w:t>
      </w:r>
    </w:p>
    <w:p>
      <w:pPr>
        <w:spacing w:after="0" w:line="32" w:lineRule="exact"/>
        <w:rPr>
          <w:sz w:val="20"/>
          <w:szCs w:val="20"/>
          <w:color w:val="auto"/>
        </w:rPr>
      </w:pPr>
    </w:p>
    <w:p>
      <w:pPr>
        <w:ind w:left="40" w:right="480"/>
        <w:spacing w:after="0" w:line="235" w:lineRule="auto"/>
        <w:rPr>
          <w:sz w:val="20"/>
          <w:szCs w:val="20"/>
          <w:color w:val="auto"/>
        </w:rPr>
      </w:pPr>
      <w:r>
        <w:rPr>
          <w:rFonts w:ascii="Arial" w:cs="Arial" w:eastAsia="Arial" w:hAnsi="Arial"/>
          <w:sz w:val="18"/>
          <w:szCs w:val="18"/>
          <w:color w:val="auto"/>
        </w:rPr>
        <w:t>Craig S. Slavtcheff, Executive Vice President, Chief R&amp;D and Innovation Officer. We have employed Mr. Slavtcheff in an executive or managerial capacity for at least five years.</w:t>
      </w: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r>
        <w:rPr>
          <w:rFonts w:ascii="Arial" w:cs="Arial" w:eastAsia="Arial" w:hAnsi="Arial"/>
          <w:sz w:val="16"/>
          <w:szCs w:val="16"/>
          <w:b w:val="1"/>
          <w:bCs w:val="1"/>
          <w:i w:val="1"/>
          <w:iCs w:val="1"/>
          <w:color w:val="auto"/>
        </w:rPr>
        <w:t>. Market for Registrant’s Capital Stock, Related Shareholder Matters and Issuer Purchases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Registrant’s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Year First</w:t>
      </w:r>
    </w:p>
    <w:p>
      <w:pPr>
        <w:spacing w:after="0" w:line="39"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Appointed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Executive</w:t>
      </w:r>
    </w:p>
    <w:p>
      <w:pPr>
        <w:spacing w:after="0" w:line="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u w:val="single" w:color="auto"/>
          <w:color w:val="auto"/>
        </w:rPr>
        <w:t>Age</w:t>
      </w:r>
      <w:r>
        <w:rPr>
          <w:sz w:val="20"/>
          <w:szCs w:val="20"/>
          <w:color w:val="auto"/>
        </w:rPr>
        <w:tab/>
      </w:r>
      <w:r>
        <w:rPr>
          <w:rFonts w:ascii="Arial" w:cs="Arial" w:eastAsia="Arial" w:hAnsi="Arial"/>
          <w:sz w:val="18"/>
          <w:szCs w:val="18"/>
          <w:b w:val="1"/>
          <w:bCs w:val="1"/>
          <w:u w:val="single" w:color="auto"/>
          <w:color w:val="auto"/>
        </w:rPr>
        <w:t>Officer</w:t>
      </w:r>
    </w:p>
    <w:p>
      <w:pPr>
        <w:spacing w:after="0" w:line="25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2020</w:t>
      </w:r>
    </w:p>
    <w:p>
      <w:pPr>
        <w:spacing w:after="0" w:line="320"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2018</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2015</w:t>
      </w:r>
    </w:p>
    <w:p>
      <w:pPr>
        <w:spacing w:after="0" w:line="25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2019</w:t>
      </w:r>
    </w:p>
    <w:p>
      <w:pPr>
        <w:spacing w:after="0" w:line="25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2019</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2017</w:t>
      </w:r>
    </w:p>
    <w:p>
      <w:pPr>
        <w:spacing w:after="0" w:line="225" w:lineRule="exact"/>
        <w:rPr>
          <w:sz w:val="20"/>
          <w:szCs w:val="20"/>
          <w:color w:val="auto"/>
        </w:rPr>
      </w:pPr>
    </w:p>
    <w:p>
      <w:pPr>
        <w:ind w:left="860" w:hanging="801"/>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2020</w:t>
      </w:r>
    </w:p>
    <w:p>
      <w:pPr>
        <w:spacing w:after="0" w:line="225" w:lineRule="exact"/>
        <w:rPr>
          <w:rFonts w:ascii="Arial" w:cs="Arial" w:eastAsia="Arial" w:hAnsi="Arial"/>
          <w:sz w:val="18"/>
          <w:szCs w:val="18"/>
          <w:color w:val="auto"/>
        </w:rPr>
      </w:pPr>
    </w:p>
    <w:p>
      <w:pPr>
        <w:ind w:left="860" w:hanging="801"/>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2019</w:t>
      </w:r>
    </w:p>
    <w:p>
      <w:pPr>
        <w:spacing w:after="0" w:line="1467" w:lineRule="exact"/>
        <w:rPr>
          <w:sz w:val="20"/>
          <w:szCs w:val="20"/>
          <w:color w:val="auto"/>
        </w:rPr>
      </w:pPr>
    </w:p>
    <w:p>
      <w:pPr>
        <w:sectPr>
          <w:pgSz w:w="11900" w:h="16838" w:orient="portrait"/>
          <w:cols w:equalWidth="0" w:num="2">
            <w:col w:w="9340" w:space="300"/>
            <w:col w:w="1600"/>
          </w:cols>
          <w:pgMar w:left="320" w:top="985" w:right="339" w:bottom="1440" w:gutter="0" w:footer="0" w:header="0"/>
        </w:sectPr>
      </w:pPr>
    </w:p>
    <w:p>
      <w:pPr>
        <w:jc w:val="both"/>
        <w:ind w:firstLine="324"/>
        <w:spacing w:after="0" w:line="277" w:lineRule="auto"/>
        <w:rPr>
          <w:sz w:val="20"/>
          <w:szCs w:val="20"/>
          <w:color w:val="auto"/>
        </w:rPr>
      </w:pPr>
      <w:r>
        <w:rPr>
          <w:rFonts w:ascii="Arial" w:cs="Arial" w:eastAsia="Arial" w:hAnsi="Arial"/>
          <w:sz w:val="18"/>
          <w:szCs w:val="18"/>
          <w:color w:val="auto"/>
        </w:rPr>
        <w:t>Our capital stock is traded on the New York Stock Exchange under the symbol "CPB." On September 15, 2021, there were 16,311 holders of record of our capital stock.</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Shareholders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Performance Graph</w:t>
      </w:r>
    </w:p>
    <w:p>
      <w:pPr>
        <w:spacing w:after="0" w:line="4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29, 2016, in each of our stock, the S&amp;P 500 and the S&amp;P Packaged Foods Group, and that all dividends were reinvested. The total cumulative dollar returns shown on the graph represent the value that such investments would have had on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31750</wp:posOffset>
            </wp:positionV>
            <wp:extent cx="5254625" cy="3429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546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hanging="92"/>
        <w:spacing w:after="0"/>
        <w:tabs>
          <w:tab w:leader="none" w:pos="1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Stock appreciation plus dividend reinvestment.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760" w:type="dxa"/>
            <w:vAlign w:val="bottom"/>
            <w:gridSpan w:val="4"/>
          </w:tcPr>
          <w:p>
            <w:pPr>
              <w:jc w:val="center"/>
              <w:ind w:left="1298"/>
              <w:spacing w:after="0"/>
              <w:rPr>
                <w:sz w:val="20"/>
                <w:szCs w:val="20"/>
                <w:color w:val="auto"/>
              </w:rPr>
            </w:pPr>
            <w:r>
              <w:rPr>
                <w:rFonts w:ascii="Arial" w:cs="Arial" w:eastAsia="Arial" w:hAnsi="Arial"/>
                <w:sz w:val="14"/>
                <w:szCs w:val="14"/>
                <w:b w:val="1"/>
                <w:bCs w:val="1"/>
                <w:color w:val="auto"/>
                <w:w w:val="96"/>
              </w:rPr>
              <w:t>2016</w:t>
            </w:r>
          </w:p>
        </w:tc>
        <w:tc>
          <w:tcPr>
            <w:tcW w:w="9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9"/>
              </w:rPr>
              <w:t>2020</w:t>
            </w:r>
          </w:p>
        </w:tc>
        <w:tc>
          <w:tcPr>
            <w:tcW w:w="124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Campbell</w:t>
            </w:r>
          </w:p>
        </w:tc>
        <w:tc>
          <w:tcPr>
            <w:tcW w:w="1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6"/>
              </w:rPr>
              <w:t>100</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87</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89"/>
              </w:rPr>
              <w:t>90</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S&amp;P 500</w:t>
            </w:r>
          </w:p>
        </w:tc>
        <w:tc>
          <w:tcPr>
            <w:tcW w:w="1760" w:type="dxa"/>
            <w:vAlign w:val="bottom"/>
            <w:gridSpan w:val="4"/>
          </w:tcPr>
          <w:p>
            <w:pPr>
              <w:jc w:val="center"/>
              <w:ind w:left="1298"/>
              <w:spacing w:after="0"/>
              <w:rPr>
                <w:sz w:val="20"/>
                <w:szCs w:val="20"/>
                <w:color w:val="auto"/>
              </w:rPr>
            </w:pPr>
            <w:r>
              <w:rPr>
                <w:rFonts w:ascii="Arial" w:cs="Arial" w:eastAsia="Arial" w:hAnsi="Arial"/>
                <w:sz w:val="18"/>
                <w:szCs w:val="18"/>
                <w:color w:val="auto"/>
                <w:w w:val="86"/>
              </w:rPr>
              <w:t>100</w:t>
            </w:r>
          </w:p>
        </w:tc>
        <w:tc>
          <w:tcPr>
            <w:tcW w:w="980" w:type="dxa"/>
            <w:vAlign w:val="bottom"/>
            <w:gridSpan w:val="3"/>
          </w:tcPr>
          <w:p>
            <w:pPr>
              <w:jc w:val="center"/>
              <w:ind w:left="418"/>
              <w:spacing w:after="0"/>
              <w:rPr>
                <w:sz w:val="20"/>
                <w:szCs w:val="20"/>
                <w:color w:val="auto"/>
              </w:rPr>
            </w:pPr>
            <w:r>
              <w:rPr>
                <w:rFonts w:ascii="Arial" w:cs="Arial" w:eastAsia="Arial" w:hAnsi="Arial"/>
                <w:sz w:val="18"/>
                <w:szCs w:val="18"/>
                <w:color w:val="auto"/>
                <w:w w:val="93"/>
              </w:rPr>
              <w:t>116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6"/>
              </w:rPr>
              <w:t>135</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center"/>
              <w:ind w:left="195"/>
              <w:spacing w:after="0"/>
              <w:rPr>
                <w:sz w:val="20"/>
                <w:szCs w:val="20"/>
                <w:color w:val="auto"/>
              </w:rPr>
            </w:pPr>
            <w:r>
              <w:rPr>
                <w:rFonts w:ascii="Arial" w:cs="Arial" w:eastAsia="Arial" w:hAnsi="Arial"/>
                <w:sz w:val="18"/>
                <w:szCs w:val="18"/>
                <w:color w:val="auto"/>
                <w:w w:val="93"/>
              </w:rPr>
              <w:t>163</w:t>
            </w:r>
          </w:p>
        </w:tc>
        <w:tc>
          <w:tcPr>
            <w:tcW w:w="1240" w:type="dxa"/>
            <w:vAlign w:val="bottom"/>
            <w:gridSpan w:val="3"/>
          </w:tcPr>
          <w:p>
            <w:pPr>
              <w:jc w:val="center"/>
              <w:ind w:left="298"/>
              <w:spacing w:after="0"/>
              <w:rPr>
                <w:sz w:val="20"/>
                <w:szCs w:val="20"/>
                <w:color w:val="auto"/>
              </w:rPr>
            </w:pPr>
            <w:r>
              <w:rPr>
                <w:rFonts w:ascii="Arial" w:cs="Arial" w:eastAsia="Arial" w:hAnsi="Arial"/>
                <w:sz w:val="18"/>
                <w:szCs w:val="18"/>
                <w:b w:val="1"/>
                <w:bCs w:val="1"/>
                <w:color w:val="auto"/>
                <w:w w:val="86"/>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Packaged Foods Group</w:t>
            </w:r>
          </w:p>
        </w:tc>
        <w:tc>
          <w:tcPr>
            <w:tcW w:w="1760" w:type="dxa"/>
            <w:vAlign w:val="bottom"/>
            <w:gridSpan w:val="4"/>
            <w:shd w:val="clear" w:color="auto" w:fill="CCEEFF"/>
          </w:tcPr>
          <w:p>
            <w:pPr>
              <w:jc w:val="center"/>
              <w:ind w:left="1298"/>
              <w:spacing w:after="0"/>
              <w:rPr>
                <w:sz w:val="20"/>
                <w:szCs w:val="20"/>
                <w:color w:val="auto"/>
              </w:rPr>
            </w:pPr>
            <w:r>
              <w:rPr>
                <w:rFonts w:ascii="Arial" w:cs="Arial" w:eastAsia="Arial" w:hAnsi="Arial"/>
                <w:sz w:val="18"/>
                <w:szCs w:val="18"/>
                <w:color w:val="auto"/>
                <w:w w:val="86"/>
              </w:rPr>
              <w:t>100</w:t>
            </w:r>
          </w:p>
        </w:tc>
        <w:tc>
          <w:tcPr>
            <w:tcW w:w="980" w:type="dxa"/>
            <w:vAlign w:val="bottom"/>
            <w:gridSpan w:val="3"/>
            <w:shd w:val="clear" w:color="auto" w:fill="CCEEFF"/>
          </w:tcPr>
          <w:p>
            <w:pPr>
              <w:jc w:val="center"/>
              <w:ind w:left="438"/>
              <w:spacing w:after="0"/>
              <w:rPr>
                <w:sz w:val="20"/>
                <w:szCs w:val="20"/>
                <w:color w:val="auto"/>
              </w:rPr>
            </w:pPr>
            <w:r>
              <w:rPr>
                <w:rFonts w:ascii="Arial" w:cs="Arial" w:eastAsia="Arial" w:hAnsi="Arial"/>
                <w:sz w:val="18"/>
                <w:szCs w:val="18"/>
                <w:color w:val="auto"/>
                <w:w w:val="89"/>
              </w:rPr>
              <w:t>94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93"/>
              </w:rPr>
              <w:t>104</w:t>
            </w:r>
          </w:p>
        </w:tc>
        <w:tc>
          <w:tcPr>
            <w:tcW w:w="1240" w:type="dxa"/>
            <w:vAlign w:val="bottom"/>
            <w:gridSpan w:val="3"/>
            <w:shd w:val="clear" w:color="auto" w:fill="CCEEFF"/>
          </w:tcPr>
          <w:p>
            <w:pPr>
              <w:jc w:val="center"/>
              <w:ind w:left="298"/>
              <w:spacing w:after="0"/>
              <w:rPr>
                <w:sz w:val="20"/>
                <w:szCs w:val="20"/>
                <w:color w:val="auto"/>
              </w:rPr>
            </w:pPr>
            <w:r>
              <w:rPr>
                <w:rFonts w:ascii="Arial" w:cs="Arial" w:eastAsia="Arial" w:hAnsi="Arial"/>
                <w:sz w:val="18"/>
                <w:szCs w:val="18"/>
                <w:b w:val="1"/>
                <w:bCs w:val="1"/>
                <w:color w:val="auto"/>
                <w:w w:val="86"/>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 w:type="dxa"/>
            <w:vAlign w:val="bottom"/>
            <w:gridSpan w:val="2"/>
          </w:tcPr>
          <w:p>
            <w:pPr>
              <w:spacing w:after="0"/>
              <w:rPr>
                <w:sz w:val="20"/>
                <w:szCs w:val="20"/>
                <w:color w:val="auto"/>
              </w:rPr>
            </w:pPr>
            <w:r>
              <w:rPr>
                <w:rFonts w:ascii="Arial" w:cs="Arial" w:eastAsia="Arial" w:hAnsi="Arial"/>
                <w:sz w:val="18"/>
                <w:szCs w:val="18"/>
                <w:color w:val="auto"/>
                <w:w w:val="78"/>
              </w:rPr>
              <w:t>.</w:t>
            </w: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5"/>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760" w:type="dxa"/>
            <w:vAlign w:val="bottom"/>
            <w:gridSpan w:val="4"/>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 Number</w:t>
            </w:r>
          </w:p>
        </w:tc>
        <w:tc>
          <w:tcPr>
            <w:tcW w:w="126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82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4"/>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220" w:type="dxa"/>
            <w:vAlign w:val="bottom"/>
          </w:tcPr>
          <w:p>
            <w:pPr>
              <w:spacing w:after="0"/>
              <w:rPr>
                <w:sz w:val="11"/>
                <w:szCs w:val="11"/>
                <w:color w:val="auto"/>
              </w:rPr>
            </w:pPr>
          </w:p>
        </w:tc>
        <w:tc>
          <w:tcPr>
            <w:tcW w:w="164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60" w:type="dxa"/>
            <w:vAlign w:val="bottom"/>
            <w:gridSpan w:val="4"/>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of Shares</w:t>
            </w:r>
          </w:p>
        </w:tc>
        <w:tc>
          <w:tcPr>
            <w:tcW w:w="1260" w:type="dxa"/>
            <w:vAlign w:val="bottom"/>
            <w:gridSpan w:val="5"/>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00" w:type="dxa"/>
            <w:vAlign w:val="bottom"/>
          </w:tcPr>
          <w:p>
            <w:pPr>
              <w:spacing w:after="0"/>
              <w:rPr>
                <w:sz w:val="11"/>
                <w:szCs w:val="11"/>
                <w:color w:val="auto"/>
              </w:rPr>
            </w:pPr>
          </w:p>
        </w:tc>
        <w:tc>
          <w:tcPr>
            <w:tcW w:w="182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vMerge w:val="continue"/>
          </w:tcPr>
          <w:p>
            <w:pPr>
              <w:spacing w:after="0"/>
              <w:rPr>
                <w:sz w:val="12"/>
                <w:szCs w:val="12"/>
                <w:color w:val="auto"/>
              </w:rPr>
            </w:pPr>
          </w:p>
        </w:tc>
        <w:tc>
          <w:tcPr>
            <w:tcW w:w="17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 xml:space="preserve">Purchased </w:t>
            </w:r>
            <w:r>
              <w:rPr>
                <w:rFonts w:ascii="Arial" w:cs="Arial" w:eastAsia="Arial" w:hAnsi="Arial"/>
                <w:sz w:val="17"/>
                <w:szCs w:val="17"/>
                <w:b w:val="1"/>
                <w:bCs w:val="1"/>
                <w:color w:val="auto"/>
                <w:w w:val="89"/>
                <w:vertAlign w:val="superscript"/>
              </w:rPr>
              <w:t>(1)</w:t>
            </w:r>
          </w:p>
        </w:tc>
        <w:tc>
          <w:tcPr>
            <w:tcW w:w="12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 xml:space="preserve">Per Share </w:t>
            </w:r>
            <w:r>
              <w:rPr>
                <w:rFonts w:ascii="Arial" w:cs="Arial" w:eastAsia="Arial" w:hAnsi="Arial"/>
                <w:sz w:val="17"/>
                <w:szCs w:val="17"/>
                <w:b w:val="1"/>
                <w:bCs w:val="1"/>
                <w:color w:val="auto"/>
                <w:w w:val="91"/>
                <w:vertAlign w:val="superscript"/>
              </w:rPr>
              <w:t>(2)</w:t>
            </w:r>
          </w:p>
        </w:tc>
        <w:tc>
          <w:tcPr>
            <w:tcW w:w="100" w:type="dxa"/>
            <w:vAlign w:val="bottom"/>
          </w:tcPr>
          <w:p>
            <w:pPr>
              <w:spacing w:after="0"/>
              <w:rPr>
                <w:sz w:val="12"/>
                <w:szCs w:val="12"/>
                <w:color w:val="auto"/>
              </w:rPr>
            </w:pPr>
          </w:p>
        </w:tc>
        <w:tc>
          <w:tcPr>
            <w:tcW w:w="18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7"/>
                <w:szCs w:val="17"/>
                <w:b w:val="1"/>
                <w:bCs w:val="1"/>
                <w:color w:val="auto"/>
                <w:w w:val="88"/>
                <w:vertAlign w:val="superscript"/>
              </w:rPr>
              <w:t>(3)</w:t>
            </w:r>
          </w:p>
        </w:tc>
        <w:tc>
          <w:tcPr>
            <w:tcW w:w="220" w:type="dxa"/>
            <w:vAlign w:val="bottom"/>
          </w:tcPr>
          <w:p>
            <w:pPr>
              <w:spacing w:after="0"/>
              <w:rPr>
                <w:sz w:val="12"/>
                <w:szCs w:val="12"/>
                <w:color w:val="auto"/>
              </w:rPr>
            </w:pPr>
          </w:p>
        </w:tc>
        <w:tc>
          <w:tcPr>
            <w:tcW w:w="16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 xml:space="preserve">($ in Millions) </w:t>
            </w:r>
            <w:r>
              <w:rPr>
                <w:rFonts w:ascii="Arial" w:cs="Arial" w:eastAsia="Arial" w:hAnsi="Arial"/>
                <w:sz w:val="17"/>
                <w:szCs w:val="17"/>
                <w:b w:val="1"/>
                <w:bCs w:val="1"/>
                <w:color w:val="auto"/>
                <w:w w:val="93"/>
                <w:vertAlign w:val="superscript"/>
              </w:rPr>
              <w:t>(3)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5/3/21 - 5/31/21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Arial" w:cs="Arial" w:eastAsia="Arial" w:hAnsi="Arial"/>
                <w:sz w:val="18"/>
                <w:szCs w:val="18"/>
                <w:b w:val="1"/>
                <w:bCs w:val="1"/>
                <w:color w:val="auto"/>
              </w:rPr>
              <w:t>6/1/21 - 6/30/21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557,401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$45.60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557,401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44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7/1/21 - 7/30/21</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228,832</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228,832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786,233</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786,233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3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Shares purchased are as of the trade date.</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 June 2021, our Board of Directors authorized an anti-dilutive share repurchase program of up to $250 million (June 2021 program) to offset the impact of dilution from shares issued under our stock compensation programs. The June 2021</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6" w:name="page17"/>
    <w:bookmarkEnd w:id="16"/>
    <w:p>
      <w:pPr>
        <w:jc w:val="both"/>
        <w:ind w:left="340"/>
        <w:spacing w:after="0" w:line="275" w:lineRule="auto"/>
        <w:rPr>
          <w:sz w:val="20"/>
          <w:szCs w:val="20"/>
          <w:color w:val="auto"/>
        </w:rPr>
      </w:pPr>
      <w:r>
        <w:rPr>
          <w:rFonts w:ascii="Arial" w:cs="Arial" w:eastAsia="Arial" w:hAnsi="Arial"/>
          <w:sz w:val="17"/>
          <w:szCs w:val="17"/>
          <w:color w:val="auto"/>
        </w:rPr>
        <w:t>program has no expiration date, but it may be suspended or discontinued at any time. Repurchases under the June 2021 program may be made in open-market or privately negotiated transactions. In September 2021, the Board approved a new strategic share repurchase program of up to $500 million (September 2021 program). The September 2021 program has no expiration date, but may be suspended or discontinued at any time. Repurchases under the September 2021 program may be made in open-market or privately negotiated transactions. The September 2021 program replaces the company's suspended $1,500 million share repurchase program, which has been cancelled.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49" w:lineRule="exact"/>
        <w:rPr>
          <w:sz w:val="20"/>
          <w:szCs w:val="20"/>
          <w:color w:val="auto"/>
        </w:rPr>
      </w:pPr>
    </w:p>
    <w:p>
      <w:pPr>
        <w:ind w:right="880" w:firstLine="324"/>
        <w:spacing w:after="0" w:line="360" w:lineRule="auto"/>
        <w:rPr>
          <w:sz w:val="20"/>
          <w:szCs w:val="20"/>
          <w:color w:val="auto"/>
        </w:rPr>
      </w:pPr>
      <w:r>
        <w:rPr>
          <w:rFonts w:ascii="Arial" w:cs="Arial" w:eastAsia="Arial" w:hAnsi="Arial"/>
          <w:sz w:val="18"/>
          <w:szCs w:val="18"/>
          <w:color w:val="auto"/>
        </w:rPr>
        <w:t xml:space="preserve">Unless otherwise stated, the terms "we," "us," "our" and the "company" refer to Campbell Soup Company and its consolidated subsidiaries. </w:t>
      </w:r>
      <w:r>
        <w:rPr>
          <w:rFonts w:ascii="Arial" w:cs="Arial" w:eastAsia="Arial" w:hAnsi="Arial"/>
          <w:sz w:val="18"/>
          <w:szCs w:val="18"/>
          <w:b w:val="1"/>
          <w:bCs w:val="1"/>
          <w:i w:val="1"/>
          <w:iCs w:val="1"/>
          <w:color w:val="auto"/>
        </w:rPr>
        <w:t>Executive Summary</w:t>
      </w: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2021 we continued to adapt and evolve in a dynamic environment as we advanced our strategic plan. In the first part of the fiscal year, as the COVID-19 pandemic reached its peak in many areas across North America, we experienced significantly higher sales for our retail products in both our Meals &amp; Beverages and Snacks segments, especially in retail chains and large grocery supermarkets. This result was attributable to elevated retail demand, as consumers significantly increased their food purchases for at-home consumption, which more than offset the declines in our foodservice business during the same period. We also saw elevated repeat purchase rates and new buyers of our products, especially in our soup business. During the second half of 2021, we experienced lower sales in both our Meals &amp; Beverages and Snacks segments as we began to cycle the demand surge that accompanied the onset of the COVID-19 pandemic, amidst intense market volatility and labor challenges. We also navigated the executional pressures of a significant transformation agenda, primarily in our Snacks division. As we begin to transition out of the COVID-19 environment, we expect that inflation and a constrained labor market will continue to be headwinds but we expect to partially mitigate these headwinds with a pricing strategy and planned productivity and cost saving programs that will allow us to deliver on our strategic initiatives.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Divestitures</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2019, we sold our U.S. refrigerated soup business, our Garden Fresh Gourmet business and our Bolthouse Farms business. Beginning in the third quarter of 2019, we have reflected the results of operations of these businesses as discontinued operations in the Consolidated Statements of Earnings for all periods presented. These businesses were historically included in the Campbell Fresh reportable segment.</w:t>
      </w:r>
    </w:p>
    <w:p>
      <w:pPr>
        <w:spacing w:after="0" w:line="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2021, we completed the sale of our Plum baby food and snacks business. The results of the Plum baby food and snacks business through the date of sale were reflected in continuing operations within the Meals &amp; Beverages reportable segment.</w:t>
      </w:r>
    </w:p>
    <w:p>
      <w:pPr>
        <w:spacing w:after="0" w:line="49" w:lineRule="exact"/>
        <w:rPr>
          <w:sz w:val="20"/>
          <w:szCs w:val="20"/>
          <w:color w:val="auto"/>
        </w:rPr>
      </w:pPr>
    </w:p>
    <w:p>
      <w:pPr>
        <w:ind w:right="1340" w:firstLine="324"/>
        <w:spacing w:after="0" w:line="352" w:lineRule="auto"/>
        <w:rPr>
          <w:sz w:val="20"/>
          <w:szCs w:val="20"/>
          <w:color w:val="auto"/>
        </w:rPr>
      </w:pPr>
      <w:r>
        <w:rPr>
          <w:rFonts w:ascii="Arial" w:cs="Arial" w:eastAsia="Arial" w:hAnsi="Arial"/>
          <w:sz w:val="18"/>
          <w:szCs w:val="18"/>
          <w:color w:val="auto"/>
        </w:rPr>
        <w:t xml:space="preserve">See Notes 3 and 6 to the Consolidated Financial Statements for additional information on these divestitures and reportable segments. </w:t>
      </w:r>
      <w:r>
        <w:rPr>
          <w:rFonts w:ascii="Arial" w:cs="Arial" w:eastAsia="Arial" w:hAnsi="Arial"/>
          <w:sz w:val="18"/>
          <w:szCs w:val="18"/>
          <w:i w:val="1"/>
          <w:iCs w:val="1"/>
          <w:color w:val="auto"/>
        </w:rPr>
        <w:t>Strategy</w:t>
      </w:r>
    </w:p>
    <w:p>
      <w:pPr>
        <w:jc w:val="both"/>
        <w:ind w:right="20" w:firstLine="324"/>
        <w:spacing w:after="0" w:line="277" w:lineRule="auto"/>
        <w:rPr>
          <w:sz w:val="20"/>
          <w:szCs w:val="20"/>
          <w:color w:val="auto"/>
        </w:rPr>
      </w:pPr>
      <w:r>
        <w:rPr>
          <w:rFonts w:ascii="Arial" w:cs="Arial" w:eastAsia="Arial" w:hAnsi="Arial"/>
          <w:sz w:val="18"/>
          <w:szCs w:val="18"/>
          <w:color w:val="auto"/>
        </w:rPr>
        <w:t>Our strategy is to accelerate profitable growth by focusing on our core brands in two divisions within North America while delivering on the promise of our purpose - C</w:t>
      </w:r>
      <w:r>
        <w:rPr>
          <w:rFonts w:ascii="Arial" w:cs="Arial" w:eastAsia="Arial" w:hAnsi="Arial"/>
          <w:sz w:val="18"/>
          <w:szCs w:val="18"/>
          <w:i w:val="1"/>
          <w:iCs w:val="1"/>
          <w:color w:val="auto"/>
        </w:rPr>
        <w:t>onnecting people through food they love</w:t>
      </w:r>
      <w:r>
        <w:rPr>
          <w:rFonts w:ascii="Arial" w:cs="Arial" w:eastAsia="Arial" w:hAnsi="Arial"/>
          <w:sz w:val="18"/>
          <w:szCs w:val="18"/>
          <w:color w:val="auto"/>
        </w:rPr>
        <w:t>. Our strategic plan is based on four pillars: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build a winning team and culture; accelerate profitable growth; fuel investments and margins with targeted cost savings; and deliver on the promise of our purpose all as further discussed below.</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continue our focus on building a winning team and culture by advancing our next generation work model, prioritizing our inclusion and diversity strategy and investing in strategic capabilities and digitization that support our core brands in North America. In addition, we plan to continue to deliver on the promise of our purpose with consumer transparency initiatives, progress on our sustainability goals and strengthening our connection to the communities in which we operate.</w:t>
      </w:r>
    </w:p>
    <w:p>
      <w:pPr>
        <w:spacing w:after="0" w:line="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we can accelerate our profitable growth model by continuing to grow market share and drive integrated business planning programming throughout the company. We expect to grow market share through the development of more consumer-oriented product quality, marketing and innovation plans and prioritizing growth channels and retailers within our defined portfolio roles. In addition, we expect to continue to focus on accelerating the growth of our Snacks brands while also sustaining the growth in U.S. soup and our other core brands. We expect that changes in consumer behavior driven by the COVID-19 pandemic will result in ongoing elevated consumer demand for food at home, relative to pre-pandemic levels. We plan to capitalize on this opportunity by addressing evolving consumer needs through our unique and differentiated portfolio.</w:t>
      </w:r>
    </w:p>
    <w:p>
      <w:pPr>
        <w:spacing w:after="0" w:line="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expect to fuel investments and margins by mitigating the effects of inflation through pricing and cost productivity initiatives. We implemented price increases beginning in 2022 and continue to pursue our multi-year cost savings initiatives with targeted annualized cost savings of $850 million for continuing operations by the end of 2022, which includes $295 million in synergies and run-rate cost savings from our acquisition of Snyder's-Lance, Inc. (Snyder's-Lance). See "Restructuring Charges and Cost Savings Initiatives" for additional information on these initiatives. In addition, we have initiated the process to drive operational excellence by transforming our supply chain capabilities to enhance ways of working to build a more resilient and agile supply chain to serve our evolving business needs while maximizing efficiency.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businesses are being influenced by a variety of trends that we anticipate will continue in the future, including: changing consumer preferences; a competitive and dynamic retail environment; and cost inflation.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strategy is designed, in part, to capture growing consumer preferences for snacking and convenience. For example, we believe that consumers are changing their eating habits by increasing the type and frequency of snacks they consume and are continuing quick-scratch cooking and in-home eating behaviors that were driven by the COVID-19 pandemic.</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Retailers continue to use their buying power and negotiating strength to seek increased promotional programs funded by their suppliers and more favorable terms, including customized products funded by their suppliers. Any consolidations among retailers would continue to create large and sophisticated customers that may further this trend. Retailers also continue to grow and promote store brands that compete with branded products, while other challenger brands drive innovation and engagement that threatens our market share.</w:t>
      </w:r>
    </w:p>
    <w:p>
      <w:pPr>
        <w:spacing w:after="0" w:line="1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spread of the COVID-19 pandemic in North America has led to shifts in the growth of the retail channels in which we sell our products. Our products are largely concentrated in the traditional retail grocery trade, which prior to the pandemic, had experienced slower growth than other retail channels, such as dollar stores, drug stores, club stores and e-commerce retailers. The COVID-19 pandemic has shifted growth back to the traditional grocery trade. Although there is significant uncertainty as to how the retail channels will perform in the future, we anticipate that the growth of e-commerce, including omnichannel click and collect models, as well as alternative retail channels, such as club and dollar stores, to continue.</w:t>
      </w:r>
    </w:p>
    <w:p>
      <w:pPr>
        <w:spacing w:after="0" w:line="5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continued to monitor the impact of the COVID-19 pandemic on all aspects of our business. Throughout the first half of 2021, we experienced an increased demand for our retail products, as consumers significantly increased their food purchases for at-home consumption. In response to increased demand, we took steps, including modifying production schedules and temporarily adjusting product mix, to increase our production capacity to meet the increased demand for our retail products. This demand moderated in the second half of 2021, when we lapped the initial surge in demand at the beginning of the pandemic. We anticipate that 2022 will continue to be a dynamic macroeconomic environment, and expect input cost inflation to be significantly higher than 2021. Pricing actions and supply chain productivity initiatives introduced at the end of 2021 will mitigate a portion of this inflationary pressure, but we do not expect such benefits will fully offset the incremental costs in 2022. There still remains uncertainty around the COVID-19 pandemic and the ultimate impact depends on the severity and duration of the pandemic, including the emergence and spread of COVID-19 variants, the continued availability and effectiveness of vaccines and actions taken by government authorities and other third parties in response to the pandemic.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53 weeks in 2020. There were 52 weeks in 2021 and 2019.</w:t>
      </w:r>
    </w:p>
    <w:p>
      <w:pPr>
        <w:spacing w:after="0" w:line="98" w:lineRule="exact"/>
        <w:rPr>
          <w:sz w:val="20"/>
          <w:szCs w:val="20"/>
          <w:color w:val="auto"/>
        </w:rPr>
      </w:pPr>
    </w:p>
    <w:p>
      <w:pPr>
        <w:ind w:left="5540" w:right="2240" w:hanging="5208"/>
        <w:spacing w:after="0" w:line="858"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decreased 2% in 2021 to $8,476 million. The impact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2020 was approximately 2 points.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jc w:val="both"/>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as a percent of sales, decreased to 33.2% in 2021 from 34.5% a year ago. The decrease was primarily due to higher cost inflation and other supply chain costs, as well as unfavorable product mix, partially offset by the benefits from supply chain productivity improvements, lower levels of promotional spending, mark-to-market gains on outstanding commodity hedges in the current year and the benefits of cost savings initiatives.</w:t>
      </w:r>
    </w:p>
    <w:p>
      <w:pPr>
        <w:spacing w:after="0" w:line="5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decreased to $210 million in 2021 from $345 million a year ago. The prior year included a loss of $75 million related to extinguishment of debt. After adjusting for this item, interest expense declined primarily due to lower levels of debt.</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 from continuing operations were $3.30 in 2021, compared to $1.95 a year ago. The current year included gains of $.32 and the prior year included expenses of $1.01 per share from items impacting comparability as discussed below.</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per share from discontinued operations was $.02 in 2021, compared to Earnings per share of $3.41 a year ago. The prior year included gains of $3.29 from items impacting comparability as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- 2021 Compared with 2020</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90" w:lineRule="exact"/>
        <w:rPr>
          <w:sz w:val="20"/>
          <w:szCs w:val="20"/>
          <w:color w:val="auto"/>
        </w:rPr>
      </w:pPr>
    </w:p>
    <w:p>
      <w:pPr>
        <w:jc w:val="both"/>
        <w:ind w:left="66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2021, we recognized gains of $165 million in Other expenses / (income) ($126 million after tax, $.41 per share) associated with mark-to-market adjustments for defined benefit pension and postretirement plans. In 2020, we recognized losses of $121 million in Other expenses / (income) ($92 million after tax, $.30 per share) associated with mark-to-market adjustments for defined benefit pension and postretirement plans;</w:t>
      </w:r>
    </w:p>
    <w:p>
      <w:pPr>
        <w:spacing w:after="0" w:line="27"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2021, we recognized pension settlement gains in Other expenses / (income) of $38 million ($29 million after tax, or $.10 per share). In 2020, we recognized pension settlement charges in Other expenses / (income) of $43 million ($33 million after tax, or $.11 per share). The settlements were associated with U.S. and Canadian pension plans and resulted from the level of lump sum distributions from the plans' assets;</w:t>
      </w:r>
    </w:p>
    <w:p>
      <w:pPr>
        <w:spacing w:after="0" w:line="27" w:lineRule="exact"/>
        <w:rPr>
          <w:rFonts w:ascii="Arial" w:cs="Arial" w:eastAsia="Arial" w:hAnsi="Arial"/>
          <w:sz w:val="16"/>
          <w:szCs w:val="16"/>
          <w:color w:val="auto"/>
        </w:rPr>
      </w:pPr>
    </w:p>
    <w:p>
      <w:pPr>
        <w:jc w:val="both"/>
        <w:ind w:left="66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implemented several cost savings initiatives in recent years. In 2021, we recorded Restructuring charges of $21 million and implementation costs and other related costs of $28 million in Administrative expenses, $3 million in Cost of products sold and $1 million in Marketing and selling expenses (aggregate impact of $40 million after tax, or $.13 per share) related to these initiatives. In 2020, we recorded Restructuring charges of $9 million and implementation costs and other related costs of $48 million in Administrative expenses, $9 million in Cost of products sold, $2 million in Marketing and selling expenses, and $1 million in Research and development expenses (aggregate impact of $52 million after tax, or $.17 per share) related to these initiatives. See Note 7 to the Consolidated Financial Statements and "Restructuring Charges and Cost Savings Initiatives" for additional information;</w:t>
      </w:r>
    </w:p>
    <w:p>
      <w:pPr>
        <w:spacing w:after="0" w:line="5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2021, we recorded a loss in Other expenses / (income) of $11 million (and a gain of $3 million after tax, or $.01 per share) on the sale of our Plum baby food and snacks business. In 2020, we recorded a loss in Other expenses / (income) of $64 million ($37 million after tax, or $.12 per share) on the sale of our European chips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2021, we recorded a $19 million ($.06 per share) deferred tax charge in connection with a legal entity reorganization as part of the continued integration of Snyder's-Lance;</w:t>
      </w:r>
    </w:p>
    <w:p>
      <w:pPr>
        <w:spacing w:after="0" w:line="4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April 26, 2020, we entered into an agreement to sell our limited partnership interest in Acre Venture Partners, L.P. (Acre). The transaction closed on May 8, 2020. In the third quarter of 2020, we recorded a loss in Other expenses / (income) of $45 million ($35 million after tax, or $.12 per share) as a result of the pending sale. See Note 14 to the Consolidated Financial Statements for additional information; and</w:t>
      </w:r>
    </w:p>
    <w:p>
      <w:pPr>
        <w:spacing w:after="0" w:line="30" w:lineRule="exact"/>
        <w:rPr>
          <w:rFonts w:ascii="Arial" w:cs="Arial" w:eastAsia="Arial" w:hAnsi="Arial"/>
          <w:sz w:val="17"/>
          <w:szCs w:val="17"/>
          <w:color w:val="auto"/>
        </w:rPr>
      </w:pPr>
    </w:p>
    <w:p>
      <w:pPr>
        <w:ind w:left="340" w:right="960" w:hanging="8"/>
        <w:spacing w:after="0" w:line="360" w:lineRule="auto"/>
        <w:tabs>
          <w:tab w:leader="none" w:pos="6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2020, we recorded a loss in Interest expense of $75 million ($57 million after tax, or $.19 per share) on the extinguishment of debt. </w:t>
      </w:r>
      <w:r>
        <w:rPr>
          <w:rFonts w:ascii="Arial" w:cs="Arial" w:eastAsia="Arial" w:hAnsi="Arial"/>
          <w:sz w:val="18"/>
          <w:szCs w:val="18"/>
          <w:i w:val="1"/>
          <w:iCs w:val="1"/>
          <w:u w:val="single" w:color="auto"/>
          <w:color w:val="auto"/>
        </w:rPr>
        <w:t>Discontinued Operations</w:t>
      </w: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2020, we recognized net gains of $1,039 million ($1,000 million after tax, or $3.29 per share) associated with the sale of Campbell International.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1"/>
                <w:szCs w:val="11"/>
                <w:color w:val="auto"/>
              </w:rPr>
            </w:pPr>
          </w:p>
        </w:tc>
        <w:tc>
          <w:tcPr>
            <w:tcW w:w="800" w:type="dxa"/>
            <w:vAlign w:val="bottom"/>
          </w:tcPr>
          <w:p>
            <w:pPr>
              <w:jc w:val="center"/>
              <w:ind w:right="112"/>
              <w:spacing w:after="0" w:line="135" w:lineRule="exact"/>
              <w:rPr>
                <w:sz w:val="20"/>
                <w:szCs w:val="20"/>
                <w:color w:val="auto"/>
              </w:rPr>
            </w:pPr>
            <w:r>
              <w:rPr>
                <w:rFonts w:ascii="Arial" w:cs="Arial" w:eastAsia="Arial" w:hAnsi="Arial"/>
                <w:sz w:val="14"/>
                <w:szCs w:val="14"/>
                <w:b w:val="1"/>
                <w:bCs w:val="1"/>
                <w:color w:val="auto"/>
                <w:w w:val="99"/>
              </w:rPr>
              <w:t>EPS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1"/>
                <w:szCs w:val="11"/>
                <w:color w:val="auto"/>
              </w:rPr>
            </w:pPr>
          </w:p>
        </w:tc>
        <w:tc>
          <w:tcPr>
            <w:tcW w:w="8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6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49"/>
        </w:trPr>
        <w:tc>
          <w:tcPr>
            <w:tcW w:w="6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3"/>
          </w:tcPr>
          <w:p>
            <w:pPr>
              <w:spacing w:after="0" w:line="203" w:lineRule="exact"/>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20" w:type="dxa"/>
            <w:vAlign w:val="bottom"/>
            <w:tcBorders>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postretirement benefit mark-to-market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920" w:type="dxa"/>
            <w:vAlign w:val="bottom"/>
            <w:gridSpan w:val="3"/>
          </w:tcPr>
          <w:p>
            <w:pPr>
              <w:spacing w:after="0"/>
              <w:rPr>
                <w:sz w:val="20"/>
                <w:szCs w:val="20"/>
                <w:color w:val="auto"/>
              </w:rPr>
            </w:pPr>
            <w:r>
              <w:rPr>
                <w:rFonts w:ascii="Arial" w:cs="Arial" w:eastAsia="Arial" w:hAnsi="Arial"/>
                <w:sz w:val="18"/>
                <w:szCs w:val="18"/>
                <w:color w:val="auto"/>
              </w:rPr>
              <w:t>Pension settlement gains (charges)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920" w:type="dxa"/>
            <w:vAlign w:val="bottom"/>
            <w:gridSpan w:val="3"/>
          </w:tcPr>
          <w:p>
            <w:pPr>
              <w:spacing w:after="0"/>
              <w:rPr>
                <w:sz w:val="20"/>
                <w:szCs w:val="20"/>
                <w:color w:val="auto"/>
              </w:rPr>
            </w:pPr>
            <w:r>
              <w:rPr>
                <w:rFonts w:ascii="Arial" w:cs="Arial" w:eastAsia="Arial" w:hAnsi="Arial"/>
                <w:sz w:val="18"/>
                <w:szCs w:val="18"/>
                <w:color w:val="auto"/>
              </w:rPr>
              <w:t>Gains (charges) associated with divestitures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charge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rPr>
              <w:t>Investment losses</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line="223"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associated with divestitures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Earnings from continuing operations were $1,008 million ($3.30 per share) in 2021, compared to $592 million ($1.95 per share) in 2020. After adjusting for items impacting comparability, earnings from continuing operations increased reflecting lower marketing and selling expenses, lower interest expense and higher other income, partially offset by a lower gross profit performance and the decline in sales. The additional week contributed approximately $.04 per share to Earnings from continuing operations in 2020. Current year earnings included $50 million ($38 million after tax, or $.12 per share) of mark-to-market gains on outstanding commodity hedges.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- 2020 Compared with 2019</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the 2020 items that impacted comparability of Net earnings discussed above, the following items impacted the comparability of net earnings and net earnings per share:</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04"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2019, we recognized losses of $122 million in Other expenses / (income) ($93 million after tax, or $.31 per share) associated with mark-to-market adjustments for defined benefit pension and postretirement plans;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2019, we recognized a pension settlement charge in Other expenses / (income) of $28 million ($22 million after tax, or $.07 per share) associated with a U.S. pension plan. The settlement resulted from the level of lump sum distributions from the plan's assets;</w:t>
      </w:r>
    </w:p>
    <w:p>
      <w:pPr>
        <w:spacing w:after="0" w:line="48"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2019, we recorded Restructuring charges of $31 million and implementation costs and other related costs of $62 million in Administrative expenses, $18 million in Cost of products sold, $7 million in Marketing and selling expenses, and $3 million in Research and development expenses (aggregate impact of $92 million after tax, or $.30 per share) related to the cost savings initiatives discussed above. See Note 7 to the Consolidated Financial Statements and "Restructuring Charges and Cost Savings Initiatives" for additional information;</w:t>
      </w:r>
    </w:p>
    <w:p>
      <w:pPr>
        <w:spacing w:after="0" w:line="4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2019, we recorded a tax charge of $2 million ($.01 per share) related to a transition tax on unremitted foreign earnings under the enactment of the Tax Cuts and Jobs Act (the Act); and</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fourth quarter of 2019, we performed an assessment on the assets within the European chips business and recorded a non-cash impairment charge of $16 million ($13 million after tax, or $.04 per share) on intangible assets in Other expenses / (income).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90" w:lineRule="exact"/>
        <w:rPr>
          <w:sz w:val="20"/>
          <w:szCs w:val="20"/>
          <w:color w:val="auto"/>
        </w:rPr>
      </w:pPr>
    </w:p>
    <w:p>
      <w:pPr>
        <w:jc w:val="both"/>
        <w:ind w:left="660" w:hanging="328"/>
        <w:spacing w:after="0" w:line="279"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2019, we incurred pre-tax expenses of $32 million associated with the sale process of Campbell Fresh, including transaction costs. In addition, we recorded tax expense of $29 million as deferred tax assets on Bolthouse Farms were not realizable. The aggregate impact was $51 million after tax, or $.17 per share. In 2019, we also incurred costs of $12 million ($10 million after tax, or $.03 per share) associated with the planned divestiture of Campbell International. The total aggregate impact was $61 million after tax, or $.20 per share;</w:t>
      </w:r>
    </w:p>
    <w:p>
      <w:pPr>
        <w:spacing w:after="0" w:line="4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2019, we recognized losses of $12 million ($9 million after tax, or $.03 per share) associated with mark-to-market adjustments for defined benefit pension plans; and</w:t>
      </w:r>
    </w:p>
    <w:p>
      <w:pPr>
        <w:spacing w:after="0" w:line="4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fourth quarter of 2019, as part of our annual review of intangible assets, we recognized a non-cash impairment charge of $7 million on a trademark and $10 million on goodwill in Kelsen due to a lower long-term outlook for sales and the pending sale of the business. The aggregate impact was $17 million ($12 million after tax, or $.04 per share).</w:t>
      </w:r>
    </w:p>
    <w:p>
      <w:pPr>
        <w:spacing w:after="0" w:line="48"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In the second quarter of 2019, interim impairment assessments were performed on the intangible and tangible assets within Campbell Fresh, which included Garden Fresh Gourmet, Bolthouse Farms carrot and carrot ingredients and Bolthouse Farms refrigerated beverages and salad dressings, as we continued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($264 million after tax, or $.87 per share).</w:t>
      </w:r>
    </w:p>
    <w:p>
      <w:pPr>
        <w:spacing w:after="0" w:line="4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2019, we recorded a non-cash impairment charge of $14 million ($11 million after tax, or $.04 per share) on our U.S. refrigerated soup plant assets.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total non-cash impairment charges recorded were $377 million ($287 million after tax, or $.95 per share).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1"/>
                <w:szCs w:val="11"/>
                <w:color w:val="auto"/>
              </w:rPr>
            </w:pPr>
          </w:p>
        </w:tc>
        <w:tc>
          <w:tcPr>
            <w:tcW w:w="800" w:type="dxa"/>
            <w:vAlign w:val="bottom"/>
          </w:tcPr>
          <w:p>
            <w:pPr>
              <w:jc w:val="center"/>
              <w:ind w:right="112"/>
              <w:spacing w:after="0" w:line="135" w:lineRule="exact"/>
              <w:rPr>
                <w:sz w:val="20"/>
                <w:szCs w:val="20"/>
                <w:color w:val="auto"/>
              </w:rPr>
            </w:pPr>
            <w:r>
              <w:rPr>
                <w:rFonts w:ascii="Arial" w:cs="Arial" w:eastAsia="Arial" w:hAnsi="Arial"/>
                <w:sz w:val="14"/>
                <w:szCs w:val="14"/>
                <w:b w:val="1"/>
                <w:bCs w:val="1"/>
                <w:color w:val="auto"/>
                <w:w w:val="99"/>
              </w:rPr>
              <w:t>EPS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1"/>
                <w:szCs w:val="11"/>
                <w:color w:val="auto"/>
              </w:rPr>
            </w:pPr>
          </w:p>
        </w:tc>
        <w:tc>
          <w:tcPr>
            <w:tcW w:w="8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6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49"/>
        </w:trPr>
        <w:tc>
          <w:tcPr>
            <w:tcW w:w="6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3"/>
          </w:tcPr>
          <w:p>
            <w:pPr>
              <w:spacing w:after="0" w:line="203" w:lineRule="exact"/>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postretirement benefit mark-to-market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rPr>
              <w:t>Pension settlement charges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rPr>
              <w:t>Charges associated with divestiture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losses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reform</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(charges) associated with divestitures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920" w:type="dxa"/>
            <w:vAlign w:val="bottom"/>
            <w:gridSpan w:val="3"/>
          </w:tcPr>
          <w:p>
            <w:pPr>
              <w:spacing w:after="0"/>
              <w:rPr>
                <w:sz w:val="20"/>
                <w:szCs w:val="20"/>
                <w:color w:val="auto"/>
              </w:rPr>
            </w:pPr>
            <w:r>
              <w:rPr>
                <w:rFonts w:ascii="Arial" w:cs="Arial" w:eastAsia="Arial" w:hAnsi="Arial"/>
                <w:sz w:val="18"/>
                <w:szCs w:val="18"/>
                <w:color w:val="auto"/>
              </w:rPr>
              <w:t>Pension benefit mark-to-market adjustments</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jc w:val="both"/>
        <w:ind w:firstLine="324"/>
        <w:spacing w:after="0" w:line="259" w:lineRule="auto"/>
        <w:rPr>
          <w:sz w:val="20"/>
          <w:szCs w:val="20"/>
          <w:color w:val="auto"/>
        </w:rPr>
      </w:pPr>
      <w:r>
        <w:rPr>
          <w:rFonts w:ascii="Arial" w:cs="Arial" w:eastAsia="Arial" w:hAnsi="Arial"/>
          <w:sz w:val="18"/>
          <w:szCs w:val="18"/>
          <w:color w:val="auto"/>
        </w:rPr>
        <w:t>Earnings from continuing operations were $592 million ($1.95 per share) in 2020, compared to $474 million ($1.57 per share) in 2019. After adjusting for items impacting comparability, earnings increased reflecting sales volume gains, including the benefit of the additional week, an improved gross profit performance and lower interest expense, partially offset by increased marketing investment. The additional week contributed approximately $.04 per share to Earnings from continuing operations in 2020.</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03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33"/>
              <w:spacing w:after="0"/>
              <w:rPr>
                <w:sz w:val="20"/>
                <w:szCs w:val="20"/>
                <w:color w:val="auto"/>
              </w:rPr>
            </w:pPr>
            <w:r>
              <w:rPr>
                <w:rFonts w:ascii="Arial" w:cs="Arial" w:eastAsia="Arial" w:hAnsi="Arial"/>
                <w:sz w:val="14"/>
                <w:szCs w:val="14"/>
                <w:b w:val="1"/>
                <w:bCs w:val="1"/>
                <w:color w:val="auto"/>
                <w:w w:val="93"/>
              </w:rPr>
              <w:t>2021/2020</w:t>
            </w:r>
          </w:p>
        </w:tc>
        <w:tc>
          <w:tcPr>
            <w:tcW w:w="1820" w:type="dxa"/>
            <w:vAlign w:val="bottom"/>
            <w:gridSpan w:val="5"/>
          </w:tcPr>
          <w:p>
            <w:pPr>
              <w:jc w:val="center"/>
              <w:ind w:left="355"/>
              <w:spacing w:after="0"/>
              <w:rPr>
                <w:sz w:val="20"/>
                <w:szCs w:val="20"/>
                <w:color w:val="auto"/>
              </w:rPr>
            </w:pPr>
            <w:r>
              <w:rPr>
                <w:rFonts w:ascii="Arial" w:cs="Arial" w:eastAsia="Arial" w:hAnsi="Arial"/>
                <w:sz w:val="14"/>
                <w:szCs w:val="14"/>
                <w:b w:val="1"/>
                <w:bCs w:val="1"/>
                <w:color w:val="auto"/>
                <w:w w:val="93"/>
              </w:rPr>
              <w:t>2020/2019</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Meals &amp; Beverages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4,646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9"/>
              </w:rPr>
              <w:t>(2)</w:t>
            </w: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Snacks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
              <w:spacing w:after="0"/>
              <w:rPr>
                <w:sz w:val="20"/>
                <w:szCs w:val="20"/>
                <w:color w:val="auto"/>
              </w:rPr>
            </w:pPr>
            <w:r>
              <w:rPr>
                <w:rFonts w:ascii="Arial" w:cs="Arial" w:eastAsia="Arial" w:hAnsi="Arial"/>
                <w:sz w:val="18"/>
                <w:szCs w:val="18"/>
                <w:color w:val="auto"/>
              </w:rPr>
              <w:t>4,045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1060" w:type="dxa"/>
            <w:vAlign w:val="bottom"/>
          </w:tcPr>
          <w:p>
            <w:pPr>
              <w:jc w:val="center"/>
              <w:ind w:left="233"/>
              <w:spacing w:after="0"/>
              <w:rPr>
                <w:sz w:val="20"/>
                <w:szCs w:val="20"/>
                <w:color w:val="auto"/>
              </w:rPr>
            </w:pPr>
            <w:r>
              <w:rPr>
                <w:rFonts w:ascii="Arial" w:cs="Arial" w:eastAsia="Arial" w:hAnsi="Arial"/>
                <w:sz w:val="18"/>
                <w:szCs w:val="18"/>
                <w:color w:val="auto"/>
                <w:w w:val="99"/>
              </w:rPr>
              <w:t>(2)</w:t>
            </w:r>
          </w:p>
        </w:tc>
        <w:tc>
          <w:tcPr>
            <w:tcW w:w="1820" w:type="dxa"/>
            <w:vAlign w:val="bottom"/>
            <w:gridSpan w:val="5"/>
          </w:tcPr>
          <w:p>
            <w:pPr>
              <w:jc w:val="center"/>
              <w:ind w:left="335"/>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8,691</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center"/>
              <w:ind w:left="233"/>
              <w:spacing w:after="0"/>
              <w:rPr>
                <w:sz w:val="20"/>
                <w:szCs w:val="20"/>
                <w:color w:val="auto"/>
              </w:rPr>
            </w:pPr>
            <w:r>
              <w:rPr>
                <w:rFonts w:ascii="Arial" w:cs="Arial" w:eastAsia="Arial" w:hAnsi="Arial"/>
                <w:sz w:val="18"/>
                <w:szCs w:val="18"/>
                <w:color w:val="auto"/>
                <w:w w:val="99"/>
              </w:rPr>
              <w:t>(2)</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388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38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5740" w:type="dxa"/>
            <w:vAlign w:val="bottom"/>
            <w:gridSpan w:val="6"/>
          </w:tcPr>
          <w:p>
            <w:pPr>
              <w:ind w:left="320"/>
              <w:spacing w:after="0"/>
              <w:rPr>
                <w:sz w:val="20"/>
                <w:szCs w:val="20"/>
                <w:color w:val="auto"/>
              </w:rPr>
            </w:pPr>
            <w:r>
              <w:rPr>
                <w:rFonts w:ascii="Arial" w:cs="Arial" w:eastAsia="Arial" w:hAnsi="Arial"/>
                <w:sz w:val="18"/>
                <w:szCs w:val="18"/>
                <w:color w:val="auto"/>
                <w:w w:val="91"/>
              </w:rPr>
              <w:t>An analysis of percent change of net sales by reportable segment follows: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2021 versus 2020</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gridSpan w:val="7"/>
          </w:tcPr>
          <w:p>
            <w:pPr>
              <w:ind w:left="120"/>
              <w:spacing w:after="0"/>
              <w:rPr>
                <w:sz w:val="20"/>
                <w:szCs w:val="20"/>
                <w:color w:val="auto"/>
              </w:rPr>
            </w:pPr>
            <w:r>
              <w:rPr>
                <w:rFonts w:ascii="Arial" w:cs="Arial" w:eastAsia="Arial" w:hAnsi="Arial"/>
                <w:sz w:val="14"/>
                <w:szCs w:val="14"/>
                <w:b w:val="1"/>
                <w:bCs w:val="1"/>
                <w:color w:val="auto"/>
              </w:rPr>
              <w:t>Meals &amp; Beverages</w:t>
            </w:r>
            <w:r>
              <w:rPr>
                <w:rFonts w:ascii="Arial" w:cs="Arial" w:eastAsia="Arial" w:hAnsi="Arial"/>
                <w:sz w:val="18"/>
                <w:szCs w:val="18"/>
                <w:b w:val="1"/>
                <w:bCs w:val="1"/>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Snacks</w:t>
            </w:r>
            <w:r>
              <w:rPr>
                <w:rFonts w:ascii="Arial" w:cs="Arial" w:eastAsia="Arial" w:hAnsi="Arial"/>
                <w:sz w:val="18"/>
                <w:szCs w:val="18"/>
                <w:b w:val="1"/>
                <w:bCs w:val="1"/>
                <w:color w:val="auto"/>
                <w:w w:val="84"/>
                <w:vertAlign w:val="superscript"/>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Volume and mix</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11"/>
              <w:spacing w:after="0"/>
              <w:rPr>
                <w:sz w:val="20"/>
                <w:szCs w:val="20"/>
                <w:color w:val="auto"/>
              </w:rPr>
            </w:pPr>
            <w:r>
              <w:rPr>
                <w:rFonts w:ascii="Arial" w:cs="Arial" w:eastAsia="Arial" w:hAnsi="Arial"/>
                <w:sz w:val="18"/>
                <w:szCs w:val="18"/>
                <w:color w:val="auto"/>
                <w:w w:val="94"/>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4"/>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Price and sales allowances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4"/>
          </w:tcPr>
          <w:p>
            <w:pPr>
              <w:jc w:val="center"/>
              <w:ind w:right="9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right="13"/>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5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Decreased/(increased) promotional spending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491"/>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79"/>
              </w:rPr>
              <w:t>1</w:t>
            </w:r>
          </w:p>
        </w:tc>
        <w:tc>
          <w:tcPr>
            <w:tcW w:w="1820" w:type="dxa"/>
            <w:vAlign w:val="bottom"/>
            <w:gridSpan w:val="5"/>
            <w:shd w:val="clear" w:color="auto" w:fill="CCEEFF"/>
          </w:tcPr>
          <w:p>
            <w:pPr>
              <w:jc w:val="center"/>
              <w:ind w:left="215"/>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Divestiture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4"/>
          </w:tcPr>
          <w:p>
            <w:pPr>
              <w:jc w:val="center"/>
              <w:ind w:right="9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right="13"/>
              <w:spacing w:after="0"/>
              <w:rPr>
                <w:sz w:val="20"/>
                <w:szCs w:val="20"/>
                <w:color w:val="auto"/>
              </w:rPr>
            </w:pPr>
            <w:r>
              <w:rPr>
                <w:rFonts w:ascii="Arial" w:cs="Arial" w:eastAsia="Arial" w:hAnsi="Arial"/>
                <w:sz w:val="18"/>
                <w:szCs w:val="18"/>
                <w:color w:val="auto"/>
                <w:w w:val="90"/>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5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Estimated impact of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491"/>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0"/>
              </w:rPr>
              <w:t>(2)</w:t>
            </w:r>
          </w:p>
        </w:tc>
        <w:tc>
          <w:tcPr>
            <w:tcW w:w="1820" w:type="dxa"/>
            <w:vAlign w:val="bottom"/>
            <w:gridSpan w:val="5"/>
            <w:shd w:val="clear" w:color="auto" w:fill="CCEEFF"/>
          </w:tcPr>
          <w:p>
            <w:pPr>
              <w:jc w:val="center"/>
              <w:ind w:left="215"/>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511"/>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8"/>
                <w:szCs w:val="18"/>
                <w:color w:val="auto"/>
                <w:w w:val="94"/>
              </w:rPr>
              <w:t>(2)%</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2020 versus 2019</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gridSpan w:val="7"/>
          </w:tcPr>
          <w:p>
            <w:pPr>
              <w:ind w:left="120"/>
              <w:spacing w:after="0"/>
              <w:rPr>
                <w:sz w:val="20"/>
                <w:szCs w:val="20"/>
                <w:color w:val="auto"/>
              </w:rPr>
            </w:pPr>
            <w:r>
              <w:rPr>
                <w:rFonts w:ascii="Arial" w:cs="Arial" w:eastAsia="Arial" w:hAnsi="Arial"/>
                <w:sz w:val="14"/>
                <w:szCs w:val="14"/>
                <w:b w:val="1"/>
                <w:bCs w:val="1"/>
                <w:color w:val="auto"/>
              </w:rPr>
              <w:t>Meals &amp; Beverages</w:t>
            </w:r>
            <w:r>
              <w:rPr>
                <w:rFonts w:ascii="Arial" w:cs="Arial" w:eastAsia="Arial" w:hAnsi="Arial"/>
                <w:sz w:val="18"/>
                <w:szCs w:val="18"/>
                <w:b w:val="1"/>
                <w:bCs w:val="1"/>
                <w:color w:val="auto"/>
                <w:vertAlign w:val="superscript"/>
              </w:rPr>
              <w:t>(2)</w:t>
            </w:r>
          </w:p>
        </w:tc>
        <w:tc>
          <w:tcPr>
            <w:tcW w:w="10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Snacks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Volume and mix</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11"/>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2"/>
              </w:rPr>
              <w:t>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Price and sales allowances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491"/>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5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Decreased/(increased) promotional spending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491"/>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5"/>
            <w:shd w:val="clear" w:color="auto" w:fill="CCEEFF"/>
          </w:tcPr>
          <w:p>
            <w:pPr>
              <w:jc w:val="center"/>
              <w:ind w:left="215"/>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Divestiture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4"/>
          </w:tcPr>
          <w:p>
            <w:pPr>
              <w:jc w:val="center"/>
              <w:ind w:right="9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right="13"/>
              <w:spacing w:after="0"/>
              <w:rPr>
                <w:sz w:val="20"/>
                <w:szCs w:val="20"/>
                <w:color w:val="auto"/>
              </w:rPr>
            </w:pPr>
            <w:r>
              <w:rPr>
                <w:rFonts w:ascii="Arial" w:cs="Arial" w:eastAsia="Arial" w:hAnsi="Arial"/>
                <w:sz w:val="18"/>
                <w:szCs w:val="18"/>
                <w:color w:val="auto"/>
                <w:w w:val="90"/>
              </w:rPr>
              <w:t>(3)</w:t>
            </w:r>
          </w:p>
        </w:tc>
        <w:tc>
          <w:tcPr>
            <w:tcW w:w="1820" w:type="dxa"/>
            <w:vAlign w:val="bottom"/>
            <w:gridSpan w:val="5"/>
          </w:tcPr>
          <w:p>
            <w:pPr>
              <w:jc w:val="center"/>
              <w:ind w:left="215"/>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Estimated impact of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491"/>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79"/>
              </w:rPr>
              <w:t>2</w:t>
            </w:r>
          </w:p>
        </w:tc>
        <w:tc>
          <w:tcPr>
            <w:tcW w:w="1820" w:type="dxa"/>
            <w:vAlign w:val="bottom"/>
            <w:gridSpan w:val="5"/>
            <w:shd w:val="clear" w:color="auto" w:fill="CCEEFF"/>
          </w:tcPr>
          <w:p>
            <w:pPr>
              <w:jc w:val="center"/>
              <w:ind w:left="215"/>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511"/>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8"/>
                <w:szCs w:val="18"/>
                <w:color w:val="auto"/>
                <w:w w:val="92"/>
              </w:rPr>
              <w:t>5%</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7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2021, Meals &amp; Beverages sales decreased 2%. Excluding the impact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sales decreased primarily due to declines in foodservice, partially offset by gains in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Foodservice sales were negatively impacted by shifts in consumer behavior and continued COVID-19 related restrictions. Including a 1-point impact from the additional week, sales of U.S. soup decreased 1% due to declines in condensed soups and ready-to-serve soups, partially offset by gains in broth.</w:t>
      </w:r>
    </w:p>
    <w:p>
      <w:pPr>
        <w:spacing w:after="0" w:line="69"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2020, Meals &amp; Beverages sales increased 9%. Excluding the benefit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sales increased primarily due to gains in the U.S. retail business driven by U.S. soup,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as well as gains in Canada, partially offset by declines in foodservice. Volume and mix increased in the retail business driven by COVID-19, with increased demand of food purchases for at-home consumption in the second half of 2020. The foodservice business was negatively impacted by shifts in consumer behavior and continued COVID-19 related restrictions, as well as the loss of a refrigerated soup contract. Including a 2-point benefit from the additional week, sales of U.S. soup increased 14% due to gains in condensed soups, ready-to-serve soups and broth.</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jc w:val="both"/>
        <w:ind w:firstLine="324"/>
        <w:spacing w:after="0" w:line="239" w:lineRule="auto"/>
        <w:rPr>
          <w:sz w:val="20"/>
          <w:szCs w:val="20"/>
          <w:color w:val="auto"/>
        </w:rPr>
      </w:pPr>
      <w:r>
        <w:rPr>
          <w:rFonts w:ascii="Arial" w:cs="Arial" w:eastAsia="Arial" w:hAnsi="Arial"/>
          <w:sz w:val="18"/>
          <w:szCs w:val="18"/>
          <w:color w:val="auto"/>
        </w:rPr>
        <w:t>In 2021, Snacks sales decreased 2%. Excluding the impact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and the divestiture of the European chips business, sales were comparable driven by volume declines mostly offset by lower levels of promotional spending as well as favorable price and sales allowances. Declines in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and partner brands were mostly offset by gains in salty snacks, including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and </w:t>
      </w:r>
      <w:r>
        <w:rPr>
          <w:rFonts w:ascii="Arial" w:cs="Arial" w:eastAsia="Arial" w:hAnsi="Arial"/>
          <w:sz w:val="18"/>
          <w:szCs w:val="18"/>
          <w:i w:val="1"/>
          <w:iCs w:val="1"/>
          <w:color w:val="auto"/>
        </w:rPr>
        <w:t>Snack Factory</w:t>
      </w:r>
      <w:r>
        <w:rPr>
          <w:rFonts w:ascii="Arial" w:cs="Arial" w:eastAsia="Arial" w:hAnsi="Arial"/>
          <w:sz w:val="18"/>
          <w:szCs w:val="18"/>
          <w:color w:val="auto"/>
        </w:rPr>
        <w:t xml:space="preserve"> pretzel crisps, and in </w:t>
      </w:r>
      <w:r>
        <w:rPr>
          <w:rFonts w:ascii="Arial" w:cs="Arial" w:eastAsia="Arial" w:hAnsi="Arial"/>
          <w:sz w:val="18"/>
          <w:szCs w:val="18"/>
          <w:i w:val="1"/>
          <w:iCs w:val="1"/>
          <w:color w:val="auto"/>
        </w:rPr>
        <w:t xml:space="preserve">Goldfish </w:t>
      </w:r>
      <w:r>
        <w:rPr>
          <w:rFonts w:ascii="Arial" w:cs="Arial" w:eastAsia="Arial" w:hAnsi="Arial"/>
          <w:sz w:val="18"/>
          <w:szCs w:val="18"/>
          <w:color w:val="auto"/>
        </w:rPr>
        <w:t>crackers. Partner brands consist of third-party branded products that we sell.</w:t>
      </w:r>
    </w:p>
    <w:p>
      <w:pPr>
        <w:spacing w:after="0" w:line="6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2020, Snacks sales increased 5%. Excluding the impact of the European chips divestiture and the benefit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sales increased driven by volume gains reflecting increased demand of food purchases for at-home consumption in the second half of 2020, as well as base business performance. The sales increases reflect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Pepperidge Farm cookies and fresh bakery products, as well as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and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and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pretzels.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$188 million in 2021 from 2020 and increased by $306 million in 2020 from 2019. As a percent of sales, gross profit was 33.2% in 2021, 34.5% in 2020 and 33.2% in 2019.</w:t>
      </w:r>
    </w:p>
    <w:p>
      <w:pPr>
        <w:spacing w:after="0" w:line="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1.3 percentage-point decrease and the 1.3 percentage-point increase in gross profit percentage in 2021 and 2020, respectively, were due to the following factors:</w:t>
      </w:r>
    </w:p>
    <w:tbl>
      <w:tblPr>
        <w:tblLayout w:type="fixed"/>
        <w:tblInd w:w="2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17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Margin Impact</w:t>
            </w:r>
          </w:p>
        </w:tc>
        <w:tc>
          <w:tcPr>
            <w:tcW w:w="820" w:type="dxa"/>
            <w:vAlign w:val="bottom"/>
            <w:tcBorders>
              <w:bottom w:val="single" w:sz="8" w:color="auto"/>
            </w:tcBorders>
          </w:tcPr>
          <w:p>
            <w:pPr>
              <w:spacing w:after="0"/>
              <w:rPr>
                <w:sz w:val="16"/>
                <w:szCs w:val="16"/>
                <w:color w:val="auto"/>
              </w:rPr>
            </w:pPr>
          </w:p>
        </w:tc>
      </w:tr>
      <w:tr>
        <w:trPr>
          <w:trHeight w:val="187"/>
        </w:trPr>
        <w:tc>
          <w:tcPr>
            <w:tcW w:w="86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6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1"/>
              </w:rPr>
              <w:t>(0.8)</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Mix</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center"/>
              <w:ind w:right="312"/>
              <w:spacing w:after="0"/>
              <w:rPr>
                <w:sz w:val="20"/>
                <w:szCs w:val="20"/>
                <w:color w:val="auto"/>
              </w:rPr>
            </w:pPr>
            <w:r>
              <w:rPr>
                <w:rFonts w:ascii="Arial" w:cs="Arial" w:eastAsia="Arial" w:hAnsi="Arial"/>
                <w:sz w:val="18"/>
                <w:szCs w:val="18"/>
                <w:color w:val="auto"/>
                <w:w w:val="87"/>
              </w:rPr>
              <w:t>0.7</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87"/>
              </w:rPr>
              <w:t>0.3</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Lower restructuring-related costs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center"/>
              <w:ind w:right="312"/>
              <w:spacing w:after="0"/>
              <w:rPr>
                <w:sz w:val="20"/>
                <w:szCs w:val="20"/>
                <w:color w:val="auto"/>
              </w:rPr>
            </w:pPr>
            <w:r>
              <w:rPr>
                <w:rFonts w:ascii="Arial" w:cs="Arial" w:eastAsia="Arial" w:hAnsi="Arial"/>
                <w:sz w:val="18"/>
                <w:szCs w:val="18"/>
                <w:color w:val="auto"/>
                <w:w w:val="87"/>
              </w:rPr>
              <w:t>0.1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Lower/(higher) level of promotional spending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1"/>
              </w:rPr>
              <w:t>(0.4)</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Productivity improvements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color w:val="auto"/>
                <w:w w:val="87"/>
              </w:rPr>
              <w:t>1.4</w:t>
            </w:r>
          </w:p>
        </w:tc>
      </w:tr>
      <w:tr>
        <w:trPr>
          <w:trHeight w:val="248"/>
        </w:trPr>
        <w:tc>
          <w:tcPr>
            <w:tcW w:w="8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right="312"/>
              <w:spacing w:after="0"/>
              <w:rPr>
                <w:sz w:val="20"/>
                <w:szCs w:val="20"/>
                <w:color w:val="auto"/>
              </w:rPr>
            </w:pPr>
            <w:r>
              <w:rPr>
                <w:rFonts w:ascii="Arial" w:cs="Arial" w:eastAsia="Arial" w:hAnsi="Arial"/>
                <w:sz w:val="18"/>
                <w:szCs w:val="18"/>
                <w:color w:val="auto"/>
                <w:w w:val="92"/>
              </w:rPr>
              <w:t>1.3%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5" w:lineRule="exact"/>
        <w:rPr>
          <w:sz w:val="20"/>
          <w:szCs w:val="20"/>
          <w:color w:val="auto"/>
        </w:rPr>
      </w:pPr>
    </w:p>
    <w:p>
      <w:pPr>
        <w:jc w:val="both"/>
        <w:ind w:left="340" w:hanging="332"/>
        <w:spacing w:after="0" w:line="238"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2021 includes an estimated positive margin impact of a 0.6 benefit from the change in mark-to-market adjustments on outstanding commodity hedges and 0.5 from the benefit of cost savings initiatives, which were more than offset by cost inflation and other factors. 2020 includes an estimated positive margin impact of 1.3 from the benefit of cost savings initiatives and operating leverage, which was more than offset by cost inflation and other factors, including the impact of COVID-19.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1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Marketing and selling expenses as a percent of sales were 9.6% in 2021, 10.9% in 2020 and 10.4% in 2019. Marketing and selling expenses decreased 14% in 2021 from 2020. The decrease was primarily due to lower advertising and consumer promotion expense (approximately 7 percentage points); increased benefits from cost savings initiatives (approximately 2 percentage points); lower incentive compensation (approximately 2 percentage points); lower selling expenses (approximately 1 percentage point) and lower costs related to marketing overhead (approximately 1 percentage point). The decrease in advertising and consumer promotion expense was primarily due to elevated levels in the prior year.</w:t>
      </w:r>
    </w:p>
    <w:p>
      <w:pPr>
        <w:spacing w:after="0" w:line="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Marketing and selling expenses increased 12% in 2020 from 2019. The increase was primarily due to higher advertising and consumer promotion expense (approximately 14 percentage points); higher selling expenses (approximately 2 percentage points); higher incentive compensation (approximately 1 percentage point); and higher costs related to marketing overhead (approximately 1 percentage point), partially offset by increased benefits from cost savings initiatives (approximately 5 percentage points) and lower costs associated with cost savings initiatives (approximately 1 percentage point). The increase in advertising and consumer promotion expense was primarily in Meals &amp; Beverages due to increased support of U.S. soup, and in Snacks due to increased support of key brands.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Administrative expenses as a percent of sales were 7.1% in 2021, 7.2% in 2020 and 7.5% in 2019. Administrative expenses decreased 4% in 2021 from 2020. The decrease was primarily due to lower incentive compensation (approximately 4 percentage points); lower costs associated with cost savings initiatives (approximately 3 percentage points); increased benefits from cost savings initiatives (approximately 2 percentage points) and higher charitable contributions in the prior year (approximately 2 percentage points), partially offset by higher information technology costs (approximately 4 percentage points); higher inflation and other factors (approximately 2 percentage points) and higher benefit-related costs (approximately 1 percentage point).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3" w:name="page24"/>
    <w:bookmarkEnd w:id="23"/>
    <w:p>
      <w:pPr>
        <w:jc w:val="both"/>
        <w:ind w:firstLine="324"/>
        <w:spacing w:after="0" w:line="257" w:lineRule="auto"/>
        <w:rPr>
          <w:sz w:val="20"/>
          <w:szCs w:val="20"/>
          <w:color w:val="auto"/>
        </w:rPr>
      </w:pPr>
      <w:r>
        <w:rPr>
          <w:rFonts w:ascii="Arial" w:cs="Arial" w:eastAsia="Arial" w:hAnsi="Arial"/>
          <w:sz w:val="18"/>
          <w:szCs w:val="18"/>
          <w:color w:val="auto"/>
        </w:rPr>
        <w:t>Administrative expenses increased 2% in 2020 from 2019. The increase was primarily due to higher incentive compensation (approximately 4 percentage points); higher information technology costs (approximately 3 percentage points); higher inflation and general administrative costs (approximately 3 percentage points) and increases in charitable contributions (approximately 2 percentage points), partially offset by increased benefits from cost savings initiatives (approximately 8 percentage points) and lower costs associated with cost savings initiatives (approximately 2 percentage points).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 2021 included the following:</w:t>
      </w:r>
    </w:p>
    <w:p>
      <w:pPr>
        <w:spacing w:after="0" w:line="104" w:lineRule="exact"/>
        <w:rPr>
          <w:sz w:val="20"/>
          <w:szCs w:val="20"/>
          <w:color w:val="auto"/>
        </w:rPr>
      </w:pPr>
    </w:p>
    <w:p>
      <w:pPr>
        <w:ind w:left="6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$285 million of net periodic benefit income, including gains of $165 million on pension and postretirement benefit mark-to-market adjustments and pension settlement gains of $38 million;</w:t>
      </w:r>
    </w:p>
    <w:p>
      <w:pPr>
        <w:spacing w:after="0" w:line="35"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$27 million of income from transition services fees;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$42 million of amortization of intangible assets;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$11 million loss on the sale of the Plum baby food and snacks business.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in 2020 included the following:</w:t>
      </w:r>
    </w:p>
    <w:p>
      <w:pPr>
        <w:spacing w:after="0" w:line="104" w:lineRule="exact"/>
        <w:rPr>
          <w:sz w:val="20"/>
          <w:szCs w:val="20"/>
          <w:color w:val="auto"/>
        </w:rPr>
      </w:pPr>
    </w:p>
    <w:p>
      <w:pPr>
        <w:ind w:left="660" w:right="2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$73 million of net periodic benefit expense, including losses of $121 million on pension and postretirement benefit mark-to-market adjustments and pension settlement charges of $43 million;</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$64 million loss on the sale of the European chips business;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$45 million loss on Acre;</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$43 million of amortization of intangible assets;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million of income from transition services fees.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in 2019 included the following:</w:t>
      </w:r>
    </w:p>
    <w:p>
      <w:pPr>
        <w:spacing w:after="0" w:line="104" w:lineRule="exact"/>
        <w:rPr>
          <w:sz w:val="20"/>
          <w:szCs w:val="20"/>
          <w:color w:val="auto"/>
        </w:rPr>
      </w:pPr>
    </w:p>
    <w:p>
      <w:pPr>
        <w:ind w:left="660" w:right="2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$71 million of net periodic benefit expense, including losses of $122 million on pension and postretirement benefit mark-to-market adjustments and a pension settlement charge of $28 million;</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$48 million of amortization of intangible assets; and</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 million non-cash impairment charge related to the European chips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6% in 2021 from 2020 and increased 8% in 2020 from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 Change</w:t>
            </w:r>
          </w:p>
        </w:tc>
      </w:tr>
      <w:tr>
        <w:trPr>
          <w:trHeight w:val="18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2021/2020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2020/2019</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8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Corporate income (expense)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Meals &amp; Beverages decreased 9% in 2021 versus 2020. The decrease was primarily due to lower gross profit performance and sales declines, partially offset by lower marketing and selling expenses and administrative expenses. Gross profit performance was impacted by higher cost inflation and other supply chain costs, as well as unfavorable product mix, partially offset by the benefits of supply chain productivity improvements and lower levels of promotional activity.</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earnings from Meals &amp; Beverages increased 10% in 2020 versus 2019. The increase was primarily due to sales gains, including the benefit of the additional week, and improved gross profit performance, partially offset by increased marketing support and higher administrative expenses. Gross profit performance was impacted by the benefits of supply chain productivity improvements and cost savings initiatives, as well as improved operating leverage and favorable product mix, partially offset by higher cost inflation and other supply chain costs, including COVID-19 related costs incurred in the second half of 2020.</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4" w:name="page25"/>
    <w:bookmarkEnd w:id="24"/>
    <w:p>
      <w:pPr>
        <w:jc w:val="both"/>
        <w:ind w:firstLine="324"/>
        <w:spacing w:after="0" w:line="259" w:lineRule="auto"/>
        <w:rPr>
          <w:sz w:val="20"/>
          <w:szCs w:val="20"/>
          <w:color w:val="auto"/>
        </w:rPr>
      </w:pPr>
      <w:r>
        <w:rPr>
          <w:rFonts w:ascii="Arial" w:cs="Arial" w:eastAsia="Arial" w:hAnsi="Arial"/>
          <w:sz w:val="18"/>
          <w:szCs w:val="18"/>
          <w:color w:val="auto"/>
        </w:rPr>
        <w:t>Operating earnings from Snacks decreased 3% in 2021 versus 2020. The decrease was primarily due to lower gross profit performance and sales declines, partially offset by lower marketing and selling expenses. Gross profit performance was impacted by higher cost inflation and other supply chain costs, partially offset by the benefits of supply chain productivity improvements and cost savings initiatives as well as lower levels of promotional spending.</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earnings from Snacks increased 6% in 2020 versus 2019. The increase primarily due to sales gains, including the benefit of the additional week, improved gross profit performance, partially offset by increased marketing support. Gross profit performance was impacted by the benefits of supply chain productivity improvements and cost savings initiatives, as well as favorable product mix and improved operating leverage, partially offset by higher cost inflation and other supply chain costs, including COVID-19 related costs incurred in the second half of 2020.</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income in 2021 included the following:</w:t>
      </w:r>
    </w:p>
    <w:p>
      <w:pPr>
        <w:spacing w:after="0" w:line="104" w:lineRule="exact"/>
        <w:rPr>
          <w:sz w:val="20"/>
          <w:szCs w:val="20"/>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$165 million of gains on pension and postretirement benefit mark-to-market adjustments;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pension settlement gains of $38 million;</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$32 million related to the cost savings initiatives; and</w:t>
      </w:r>
    </w:p>
    <w:p>
      <w:pPr>
        <w:spacing w:after="0" w:line="103" w:lineRule="exact"/>
        <w:rPr>
          <w:rFonts w:ascii="Arial" w:cs="Arial" w:eastAsia="Arial" w:hAnsi="Arial"/>
          <w:sz w:val="18"/>
          <w:szCs w:val="18"/>
          <w:color w:val="auto"/>
        </w:rPr>
      </w:pPr>
    </w:p>
    <w:p>
      <w:pPr>
        <w:ind w:left="340" w:right="4940" w:firstLine="154"/>
        <w:spacing w:after="0" w:line="352" w:lineRule="auto"/>
        <w:tabs>
          <w:tab w:leader="none" w:pos="6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of $11 million from the sale of the Plum baby food and snacks business. Corporate expense in 2020 included the following:</w:t>
      </w: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$121 million of losses on pension and postretirement benefit mark-to-market adjustments;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of $64 million from the sale of the European chips business;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$60 million related to the cost savings initiatives;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of $45 million on Acre;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pension settlement charges of $43 million.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expense in 2019 included the following:</w:t>
      </w:r>
    </w:p>
    <w:p>
      <w:pPr>
        <w:spacing w:after="0" w:line="104" w:lineRule="exact"/>
        <w:rPr>
          <w:sz w:val="20"/>
          <w:szCs w:val="20"/>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$122 million of losses on pension and postretirement benefit mark-to-market adjustments;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$90 million related to the cost savings initiatives;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pension settlement charge of $28 million;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impairment charge of $16 million related to the European chips business.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Excluding these amounts, the remaining change from 2020 to 2021 was primarily due to $50 million of mark-to-market gains on outstanding commodity hedges in the current year.</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Excluding these amounts, the remaining decrease in costs in 2020 from 2019 was primarily due to higher other income and lower administrative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$210 million in 2021 from $345 million in 2020. The decrease in interest expense was due to a loss on extinguishment of debt of $75 million in the prior year and lower levels of debt.</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$345 million in 2020 from $356 million in 2019. The decrease in interest expense was due to lower levels of debt and lower average interest rates on the debt portfolio, partially offset by a loss on extinguishment of debt of $75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24.6% in 2021, 22.7% in 2020 and 24.2% in 2019.</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the effective tax rate in 2021 from 2020 was primarily due to a $19 million deferred tax charge recognized in the second quarter of 2021 in connection with a legal entity reorganization as part of the continued integration of Snyder's-Lance and a $27 million tax benefit on the $64 million loss on the sale of the European chips business in the prior year.</w:t>
      </w:r>
    </w:p>
    <w:p>
      <w:pPr>
        <w:spacing w:after="0" w:line="62" w:lineRule="exact"/>
        <w:rPr>
          <w:sz w:val="20"/>
          <w:szCs w:val="20"/>
          <w:color w:val="auto"/>
        </w:rPr>
      </w:pPr>
    </w:p>
    <w:p>
      <w:pPr>
        <w:ind w:right="1400" w:firstLine="324"/>
        <w:spacing w:after="0" w:line="352" w:lineRule="auto"/>
        <w:rPr>
          <w:sz w:val="20"/>
          <w:szCs w:val="20"/>
          <w:color w:val="auto"/>
        </w:rPr>
      </w:pPr>
      <w:r>
        <w:rPr>
          <w:rFonts w:ascii="Arial" w:cs="Arial" w:eastAsia="Arial" w:hAnsi="Arial"/>
          <w:sz w:val="18"/>
          <w:szCs w:val="18"/>
          <w:color w:val="auto"/>
        </w:rPr>
        <w:t xml:space="preserve">The decrease in the effective rate in 2020 from 2019 was primarily due to the tax benefit on the sale of the European chips business. </w:t>
      </w:r>
      <w:r>
        <w:rPr>
          <w:rFonts w:ascii="Arial" w:cs="Arial" w:eastAsia="Arial" w:hAnsi="Arial"/>
          <w:sz w:val="18"/>
          <w:szCs w:val="18"/>
          <w:b w:val="1"/>
          <w:bCs w:val="1"/>
          <w:i w:val="1"/>
          <w:iCs w:val="1"/>
          <w:color w:val="auto"/>
        </w:rPr>
        <w:t>Two-Year Comparison of Results from Continuing Operations - 2021 versus 2019</w:t>
      </w:r>
    </w:p>
    <w:p>
      <w:pPr>
        <w:jc w:val="both"/>
        <w:ind w:firstLine="324"/>
        <w:spacing w:after="0" w:line="263" w:lineRule="auto"/>
        <w:rPr>
          <w:sz w:val="20"/>
          <w:szCs w:val="20"/>
          <w:color w:val="auto"/>
        </w:rPr>
      </w:pPr>
      <w:r>
        <w:rPr>
          <w:rFonts w:ascii="Arial" w:cs="Arial" w:eastAsia="Arial" w:hAnsi="Arial"/>
          <w:sz w:val="18"/>
          <w:szCs w:val="18"/>
          <w:color w:val="auto"/>
        </w:rPr>
        <w:t>With the continued impact from the COVID-19 pandemic in 2021, we experienced significantly higher sales of our retail products in both our Meals &amp; Beverages and Snacks segments as consumers increased food purchases for at-home consumption. For additional context on our net sales performance and earnings from continuing operations performance,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5" w:name="page26"/>
    <w:bookmarkEnd w:id="25"/>
    <w:p>
      <w:pPr>
        <w:jc w:val="center"/>
        <w:ind w:right="880"/>
        <w:spacing w:after="0" w:line="417" w:lineRule="auto"/>
        <w:rPr>
          <w:sz w:val="20"/>
          <w:szCs w:val="20"/>
          <w:color w:val="auto"/>
        </w:rPr>
      </w:pPr>
      <w:r>
        <w:rPr>
          <w:rFonts w:ascii="Arial" w:cs="Arial" w:eastAsia="Arial" w:hAnsi="Arial"/>
          <w:sz w:val="16"/>
          <w:szCs w:val="16"/>
          <w:color w:val="auto"/>
        </w:rPr>
        <w:t>including items impacting comparability as previously discussed, see below for comparison of our current results to 2019, before the pandemic. Net sales increased 5% to $8,476 million in 2021 from $8,107 million in 2019. An analysis of net sales by reportable segment follows:</w:t>
      </w: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18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174"/>
              <w:spacing w:after="0"/>
              <w:rPr>
                <w:sz w:val="20"/>
                <w:szCs w:val="20"/>
                <w:color w:val="auto"/>
              </w:rPr>
            </w:pPr>
            <w:r>
              <w:rPr>
                <w:rFonts w:ascii="Arial" w:cs="Arial" w:eastAsia="Arial" w:hAnsi="Arial"/>
                <w:sz w:val="14"/>
                <w:szCs w:val="14"/>
                <w:b w:val="1"/>
                <w:bCs w:val="1"/>
                <w:color w:val="auto"/>
                <w:w w:val="93"/>
              </w:rPr>
              <w:t>2021/2019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Impact of Divestitures</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79"/>
              </w:rPr>
              <w:t>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Snacks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1120" w:type="dxa"/>
            <w:vAlign w:val="bottom"/>
          </w:tcPr>
          <w:p>
            <w:pPr>
              <w:jc w:val="center"/>
              <w:ind w:left="194"/>
              <w:spacing w:after="0"/>
              <w:rPr>
                <w:sz w:val="20"/>
                <w:szCs w:val="20"/>
                <w:color w:val="auto"/>
              </w:rPr>
            </w:pPr>
            <w:r>
              <w:rPr>
                <w:rFonts w:ascii="Arial" w:cs="Arial" w:eastAsia="Arial" w:hAnsi="Arial"/>
                <w:sz w:val="18"/>
                <w:szCs w:val="18"/>
                <w:color w:val="auto"/>
                <w:w w:val="79"/>
              </w:rPr>
              <w:t>2</w:t>
            </w:r>
          </w:p>
        </w:tc>
        <w:tc>
          <w:tcPr>
            <w:tcW w:w="1960" w:type="dxa"/>
            <w:vAlign w:val="bottom"/>
            <w:gridSpan w:val="3"/>
          </w:tcPr>
          <w:p>
            <w:pPr>
              <w:jc w:val="center"/>
              <w:ind w:left="299"/>
              <w:spacing w:after="0"/>
              <w:rPr>
                <w:sz w:val="20"/>
                <w:szCs w:val="20"/>
                <w:color w:val="auto"/>
              </w:rPr>
            </w:pPr>
            <w:r>
              <w:rPr>
                <w:rFonts w:ascii="Arial" w:cs="Arial" w:eastAsia="Arial" w:hAnsi="Arial"/>
                <w:sz w:val="18"/>
                <w:szCs w:val="18"/>
                <w:color w:val="auto"/>
                <w:w w:val="99"/>
              </w:rPr>
              <w:t>(3)</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23"/>
        </w:trPr>
        <w:tc>
          <w:tcPr>
            <w:tcW w:w="5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8,476</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ind w:left="194"/>
              <w:spacing w:after="0"/>
              <w:rPr>
                <w:sz w:val="20"/>
                <w:szCs w:val="20"/>
                <w:color w:val="auto"/>
              </w:rPr>
            </w:pPr>
            <w:r>
              <w:rPr>
                <w:rFonts w:ascii="Arial" w:cs="Arial" w:eastAsia="Arial" w:hAnsi="Arial"/>
                <w:sz w:val="18"/>
                <w:szCs w:val="18"/>
                <w:color w:val="auto"/>
                <w:w w:val="79"/>
              </w:rPr>
              <w:t>5</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from continuing operations and the items impacting comparability are summarized below:</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1"/>
                <w:szCs w:val="11"/>
                <w:color w:val="auto"/>
              </w:rPr>
            </w:pPr>
          </w:p>
        </w:tc>
        <w:tc>
          <w:tcPr>
            <w:tcW w:w="80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w w:val="99"/>
              </w:rPr>
              <w:t>EPS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1"/>
                <w:szCs w:val="11"/>
                <w:color w:val="auto"/>
              </w:rPr>
            </w:pPr>
          </w:p>
        </w:tc>
        <w:tc>
          <w:tcPr>
            <w:tcW w:w="80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6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22"/>
        </w:trPr>
        <w:tc>
          <w:tcPr>
            <w:tcW w:w="6920" w:type="dxa"/>
            <w:vAlign w:val="bottom"/>
            <w:tcBorders>
              <w:top w:val="single" w:sz="8" w:color="CCEEFF"/>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b w:val="1"/>
                <w:bCs w:val="1"/>
                <w:color w:val="auto"/>
              </w:rPr>
              <w:t>1,008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b w:val="1"/>
                <w:bCs w:val="1"/>
                <w:color w:val="auto"/>
              </w:rPr>
              <w:t>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66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postretirement benefit mark-to-market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Arial" w:cs="Arial" w:eastAsia="Arial" w:hAnsi="Arial"/>
                <w:sz w:val="18"/>
                <w:szCs w:val="18"/>
                <w:color w:val="auto"/>
              </w:rPr>
              <w:t>Pension settlement gains (charges)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Arial" w:cs="Arial" w:eastAsia="Arial" w:hAnsi="Arial"/>
                <w:sz w:val="18"/>
                <w:szCs w:val="18"/>
                <w:color w:val="auto"/>
              </w:rPr>
              <w:t>Gains associated with divestiture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charge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Tax reform</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line="223"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8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Restructuring Charges and Cost Savings Initiatives</w:t>
      </w:r>
    </w:p>
    <w:p>
      <w:pPr>
        <w:spacing w:after="0" w:line="10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Multi-year Cost Savings Initiatives and Snyder's-Lance Cost Transformation Program and Integration</w:t>
      </w:r>
    </w:p>
    <w:p>
      <w:pPr>
        <w:spacing w:after="0" w:line="90"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A summary of charges recorded in Earnings from continuing operations related to these initiatives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(Millions, except per share amounts)</w:t>
            </w:r>
          </w:p>
        </w:tc>
        <w:tc>
          <w:tcPr>
            <w:tcW w:w="9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Recognized as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August 1,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121</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Aggregate after-tax impact</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impact</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380" w:type="dxa"/>
            <w:vAlign w:val="bottom"/>
            <w:gridSpan w:val="8"/>
          </w:tcPr>
          <w:p>
            <w:pPr>
              <w:ind w:left="340"/>
              <w:spacing w:after="0"/>
              <w:rPr>
                <w:sz w:val="20"/>
                <w:szCs w:val="20"/>
                <w:color w:val="auto"/>
              </w:rPr>
            </w:pPr>
            <w:r>
              <w:rPr>
                <w:rFonts w:ascii="Arial" w:cs="Arial" w:eastAsia="Arial" w:hAnsi="Arial"/>
                <w:sz w:val="18"/>
                <w:szCs w:val="18"/>
                <w:color w:val="auto"/>
                <w:w w:val="99"/>
              </w:rPr>
              <w:t>A summary of the pre-tax costs in Earnings from continuing operations associated with the initiatives is as follows: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w w:val="93"/>
              </w:rPr>
              <w:t>Recognized as of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4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1"/>
              </w:rPr>
              <w:t>August 1,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9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380" w:type="dxa"/>
            <w:vAlign w:val="bottom"/>
            <w:gridSpan w:val="8"/>
            <w:vMerge w:val="restart"/>
          </w:tcPr>
          <w:p>
            <w:pPr>
              <w:ind w:left="340"/>
              <w:spacing w:after="0"/>
              <w:rPr>
                <w:sz w:val="20"/>
                <w:szCs w:val="20"/>
                <w:color w:val="auto"/>
              </w:rPr>
            </w:pPr>
            <w:r>
              <w:rPr>
                <w:rFonts w:ascii="Arial" w:cs="Arial" w:eastAsia="Arial" w:hAnsi="Arial"/>
                <w:sz w:val="18"/>
                <w:szCs w:val="18"/>
                <w:color w:val="auto"/>
                <w:w w:val="90"/>
              </w:rPr>
              <w:t>A summary of the pre-tax costs in Earnings (loss) from discontinued operations associated with these initiatives is as follows:</w:t>
            </w: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938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Recognized as of August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1, 2021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9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are approximately $710 million to $730 million. This estimate will be updated as costs continue to be developed. The majority of the remaining costs will be incurred in 2022.</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to consist of the following: approximately $220 million to $225 million in severance pay and benefits; approximately $85 million in asset impairment and accelerated depreciation; and approximately $405 million to $420 million in implementation costs and other related costs. We expect these pre-tax costs to be associated with our segments as follows: Meals &amp; Beverages - approximately 31%; Snacks - approximately 45%; and Corporate - approximately 24%.</w:t>
      </w:r>
    </w:p>
    <w:p>
      <w:pPr>
        <w:spacing w:after="0" w:line="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Of the aggregate $710 million to $730 million of pre-tax costs associated with continuing operations, we expect approximately $610 million to $630 million will be cash expenditures. In addition, we expect to invest approximately $435 million in capital expenditures through 2022, of which we invested $401 million as of August 1, 2021.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fund the costs through cash flows from operations and short-term borrowings.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jc w:val="both"/>
        <w:ind w:firstLine="324"/>
        <w:spacing w:after="0" w:line="308" w:lineRule="auto"/>
        <w:rPr>
          <w:sz w:val="20"/>
          <w:szCs w:val="20"/>
          <w:color w:val="auto"/>
        </w:rPr>
      </w:pPr>
      <w:r>
        <w:rPr>
          <w:rFonts w:ascii="Arial" w:cs="Arial" w:eastAsia="Arial" w:hAnsi="Arial"/>
          <w:sz w:val="17"/>
          <w:szCs w:val="17"/>
          <w:color w:val="auto"/>
        </w:rPr>
        <w:t>We expect the initiatives for actions associated with continuing operations, once all phases are implemented, to generate annual ongoing savings of approximately $850 million by the end of 2022. The annual pre-tax savings associated with continuing operations generated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initiatives for actions associated with discontinued operations generated pre-tax savings of over $90 million in 2019.</w:t>
      </w:r>
    </w:p>
    <w:p>
      <w:pPr>
        <w:spacing w:after="0" w:line="10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Costs Incurred to Date</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Snacks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$55 million. On June 16, 2019, we sold our Bolthouse Farms business. Proceeds were $500 million.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completed the sale of our Kelsen business on September 23, 2019, for $322 million. We also completed the sale of the Arnott’s and other international operations on December 23, 2019, for $2,286 million.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Campbell International</w:t>
            </w:r>
          </w:p>
        </w:tc>
        <w:tc>
          <w:tcPr>
            <w:tcW w:w="14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Campbell</w:t>
            </w: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Fresh</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sales of businesses / costs associated with selling the businesses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 on sales / costs associated with selling the businesses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third quarter of 2021, we recognized a $6 million Loss from discontinued operations due to tax expense from return-to-provision adjustments related to the sale of Campbell International.</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Campbell International sales and earnings from operations decreased reflecting the sales of the businesses.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sale of the Arnott's and other international operations resulted in a substantial capital gain for tax purposes. We were able to utilize capital losses in 2020, which were offset with valuation allowances as of July 28, 2019, to offset the capital gain.</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2019, as part of our annual review of intangible assets, we recognized an impairment charge of $7 million on a trademark and $10 million on goodwill in Kelsen due to a lower long-term outlook for sales and the pending sale of the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6"/>
          <w:szCs w:val="16"/>
          <w:color w:val="auto"/>
        </w:rPr>
        <w:t>In 2019, we recorded non-cash impairment charges of $360 million ($275 million after tax, or $.91 per share) on the reporting units in Campbell Fresh.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"Significant Accounting Estimates"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generated cash flows from operations of $1,035 million in 2021, compared to $1,396 million in 2020. The decline in 2021 was primarily due to changes in working capital, mostly from a significant increase in accounts payable in the prior year and lower accrued liabilities in the current year.</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$1,396 million in 2020, compared to $1,398 million in 2019. The decline in 2020 was primarily due changes in working capital, mostly offset by higher cash earnings and lower other cash payments.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Current assets are less than current liabilities as a result of our level of current maturities of long-term debt and short-term borrowings and our focus to lower core working capital requirements. We had negative working capital of $119 million as of August 1, 2021, and $690 million as of August 2, 2020. Total debt maturing within one year was $48 million as of August 1, 2021, and $1,202 million as of August 2, 2020.</w:t>
      </w:r>
    </w:p>
    <w:p>
      <w:pPr>
        <w:spacing w:after="0" w:line="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Capital expenditures were $275 million in 2021, $299 million in 2020 and $384 million in 2019. Capital expenditures in 2021 were lower than 2020 due to capital expenditures associated with discontinued operations in 2020. Capital expenditures in 2020 were lower than 2019 reflecting delays in certain projects impacted by the spread of the COVID-19 pandemic. Capital expenditures are expected to total approximately $330 million in 2022. Capital expenditures in 2021 included the implementation of our existing SAP enterprise-resource planning system for Snyder's-Lance, chip capacity expansion projects, a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 capacity expansion project, and a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 capacity expansion project. Capital expenditures in 2020 included the implementation of our existing SAP enterprise-resource planning system for Snyder's-Lance, a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 capacity expansion project, chip capacity expansion projects, and a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 capacity expansion project. Capital expenditures in 2019 included a U.S. warehouse optimization project, replacement of a Pepperidge Farm refrigeration system, transition of production of the Toronto manufacturing facility to our U.S. thermal plants, a Snyder's-Lance regional distribution center, a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 capacity expansion project, and a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 capacity expansion project.</w:t>
      </w:r>
    </w:p>
    <w:p>
      <w:pPr>
        <w:spacing w:after="0" w:line="3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$55 million. On June 16, 2019, we sold our Bolthouse Farms business. Proceeds were $500 million.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completed the sale of our Kelsen business on September 23, 2019, for $322 million. On September 30, 2019, we repaid $399 million of our senior unsecured term loan facility using net proceeds from the Kelsen sale and the issuance of commercial paper. In addition, on October 11, 2019, we completed the sale of our European chips business for £63 million, or $77 million.</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completed the sale of the Arnott’s and other international operations on December 23, 2019, for $2,286 million. The purchase price was subject to certain post-closing adjustments, which resulted in $4 million of additional proceeds in the third quarter of 2020.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On January 24, 2020, we settled tender offers to purchase $1,200 million in aggregate principal amount of certain unsecured debt, comprising $329 million of 3.30% Senior Notes due 2021, $634 million of 3.65% Senior Notes due 2023, and $237 million of 3.80% Senior Notes due 2043. Except for the $237 million of 3.80% Senior Notes due 2043, the Senior Notes settled under the tender offer were issued in connection with our acquisition of Snyder’s-Lance. The consideration for the redemption and the tender offers was $1,765 million, including $65 million of premium. We recognized a loss of $75 million (including $65 million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3, 2021, we completed the sale of our Plum baby food and snacks business for $101 million, subject to certain post-closing adjustments.</w:t>
      </w:r>
    </w:p>
    <w:p>
      <w:pPr>
        <w:spacing w:after="0" w:line="1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Dividend payments were $439 million in 2021, $426 million in 2020 and $423 million in 2019. Annual dividends declared were $1.46 per share in 2021, and $1.40 per share in 2020 and in 2019. The 2021 fourth quarter dividend was $.37 per share.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jc w:val="both"/>
        <w:ind w:firstLine="324"/>
        <w:spacing w:after="0" w:line="270" w:lineRule="auto"/>
        <w:rPr>
          <w:sz w:val="20"/>
          <w:szCs w:val="20"/>
          <w:color w:val="auto"/>
        </w:rPr>
      </w:pPr>
      <w:r>
        <w:rPr>
          <w:rFonts w:ascii="Arial" w:cs="Arial" w:eastAsia="Arial" w:hAnsi="Arial"/>
          <w:sz w:val="17"/>
          <w:szCs w:val="17"/>
          <w:color w:val="auto"/>
        </w:rPr>
        <w:t>We suspended our share repurchases as of the second quarter of 2018. In June 2021, the Board authorized a new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We repurchased approximately 1 million shares at a cost of $36 million in 2021 under the June 2021 program. In September 2021, the Board approved a new strategic share repurchase program of up to $500 million (September 2021 program). The September 2021 program has no expiration date, but may be suspended or discontinued at any time. Repurchases under the September 2021 program may be made in open-market or privately negotiated transactions. The September 2021 program replaces the suspended $1,500 million share repurchase program, which has been cancelled. See Note 16 to the Consolidated Financial Statements and "Market for Registrant's Capital Stock, Related Shareholder Matters and Issuer Purchases of Equity Securities" for additional information.</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24, 2020, we issued senior unsecured notes in an aggregate principal amount of $1,000 million, consisting of $500 million aggregate principal amount of notes bearing interest at a fixed rate of 2.375% per annum, due April 24, 2030, and $500 million aggregate principal amount of notes bearing interest at a fixed rate of 3.125% per annum, due April 24, 2050. On May 1, 2020, we used $300 million of the net proceeds to repay $300 million of borrowings outstanding under a revolving credit facility.</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2021, we repaid our 3.30% $321 million notes and floating rate $400 million notes, and in May 2021, we repaid our 8.875% $200 million notes. The repayments were funded with available cash and commercial paper issuances.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August 1, 2021, we had $48 million of short-term borrowings due within one year, of which $37 million was comprised of commercial paper borrowings. As of August 1, 2021, we issued $36 million of standby letters of credit. On November 2, 2020, we entered into a committed revolving credit facility totaling $1,850 million that matures on November 2, 2023. This facility remained unused at August 1, 2021,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table summarizes our obligations and commitments to make future payments under certain contractual obligations as of August 1, 2021. For additional information on debt, see Note 12 to the Consolidated Financial Statements.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19 to the Consolidated Financial Statements.</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2023-2024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2025-2026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5240" w:type="dxa"/>
            <w:vAlign w:val="bottom"/>
            <w:tcBorders>
              <w:top w:val="single" w:sz="8" w:color="CCEEFF"/>
            </w:tcBorders>
            <w:shd w:val="clear" w:color="auto" w:fill="CCEEFF"/>
          </w:tcPr>
          <w:p>
            <w:pPr>
              <w:ind w:left="120"/>
              <w:spacing w:after="0" w:line="224"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120"/>
              <w:spacing w:after="0" w:line="230" w:lineRule="exact"/>
              <w:rPr>
                <w:sz w:val="20"/>
                <w:szCs w:val="20"/>
                <w:color w:val="auto"/>
              </w:rPr>
            </w:pPr>
            <w:r>
              <w:rPr>
                <w:rFonts w:ascii="Arial" w:cs="Arial" w:eastAsia="Arial" w:hAnsi="Arial"/>
                <w:sz w:val="18"/>
                <w:szCs w:val="18"/>
                <w:color w:val="auto"/>
              </w:rPr>
              <w:t>Interest payments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Derivative payments</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12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commitments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120"/>
              <w:spacing w:after="0" w:line="230" w:lineRule="exact"/>
              <w:rPr>
                <w:sz w:val="20"/>
                <w:szCs w:val="20"/>
                <w:color w:val="auto"/>
              </w:rPr>
            </w:pPr>
            <w:r>
              <w:rPr>
                <w:rFonts w:ascii="Arial" w:cs="Arial" w:eastAsia="Arial" w:hAnsi="Arial"/>
                <w:sz w:val="18"/>
                <w:szCs w:val="18"/>
                <w:color w:val="auto"/>
              </w:rPr>
              <w:t>Other long-term payments</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7"/>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7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340" w:hanging="332"/>
        <w:spacing w:after="0" w:line="227"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Excludes unamortized net discount/premium on debt issuances and debt issuance costs. For additional information on debt obligations, see Note 12 to the Consolidated Financial Statements.</w:t>
      </w:r>
    </w:p>
    <w:p>
      <w:pPr>
        <w:ind w:left="320" w:hanging="312"/>
        <w:spacing w:after="0" w:line="196"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interest payments on long-term debt and finance leases.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payments of foreign exchange forward contracts.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For additional information on operating leases, see Note 10 to the Consolidated Financial Statements.</w:t>
      </w:r>
    </w:p>
    <w:p>
      <w:pPr>
        <w:spacing w:after="0" w:line="2" w:lineRule="exact"/>
        <w:rPr>
          <w:rFonts w:ascii="Arial" w:cs="Arial" w:eastAsia="Arial" w:hAnsi="Arial"/>
          <w:sz w:val="23"/>
          <w:szCs w:val="23"/>
          <w:color w:val="auto"/>
          <w:vertAlign w:val="superscript"/>
        </w:rPr>
      </w:pPr>
    </w:p>
    <w:p>
      <w:pPr>
        <w:jc w:val="both"/>
        <w:ind w:left="340" w:hanging="332"/>
        <w:spacing w:after="0" w:line="228"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other long-term liabilities, excluding unrecognized tax benefits, postretirement benefits and payments related to pension plans. For additional information on pension and postretirement benefits, see Note 9 to the Consolidated Financial Statements. For additional information on unrecognized tax benefits, see Note 11 to the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guarantee approximately 4,900 bank loans made to independent contractor distributors by third-party financial institutions for the purchase of distribution routes. The maximum potential amount of the future payments under existing guarantees we could be required to make is $488 million as of August 1, 2021. Our guarantees are indirectly secured by the distribution routes. We do not expect that we will be required to make material guarantee payments as a result of defaults on the bank loans guaranteed.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impact of inflation on our cost of products sold. We use a number of strategies to mitigate the effects of cost inflation including increasing prices, commodity hedging and pursuing cost productivity initiatives. We experienced higher inflation in 2021, and expect to experience increased inflation in 2022. Pricing actions and supply chain productivity initiatives introduced at the end of 2021 will mitigate a portion of this inflationary pressure, but we do not expect such benefits will fully offset the incremental costs in 2022.</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1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We manage our foreign currency exposures by utilizing foreign exchange forward contracts. We enter into foreign exchange forward contracts for periods consistent with related underlying exposures, and the contracts do not constitute positions independent of those exposures. We do not enter into derivative contracts for speculative purposes and do not use leveraged instruments.</w:t>
      </w:r>
    </w:p>
    <w:p>
      <w:pPr>
        <w:spacing w:after="0" w:line="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aluminum, cocoa, soybean meal, corn and butter.</w:t>
      </w:r>
    </w:p>
    <w:p>
      <w:pPr>
        <w:spacing w:after="0" w:line="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below summarizes our market risks associated with debt obligations and other significant financial instruments as of August 1, 2021. Fair values included herein have been determined based on quoted market prices or pricing models using current market rates. The information presented below should be read in conjunction with Notes 12, 13 and 15 to the Consolidated Financial Statements.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principal cash flows and related interest rates by fiscal year of maturity for debt obligations. Interest rates disclosed on variable-rate debt represent the weighted-average rates at August 1, 2021.</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Expected Fiscal Year of Maturity</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21"/>
                <w:szCs w:val="21"/>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21"/>
                <w:szCs w:val="21"/>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Fair Value</w:t>
            </w: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266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Debt</w:t>
            </w:r>
            <w:r>
              <w:rPr>
                <w:rFonts w:ascii="Arial" w:cs="Arial" w:eastAsia="Arial" w:hAnsi="Arial"/>
                <w:sz w:val="20"/>
                <w:szCs w:val="20"/>
                <w:b w:val="1"/>
                <w:bCs w:val="1"/>
                <w:color w:val="auto"/>
                <w:vertAlign w:val="superscript"/>
              </w:rPr>
              <w:t>(1)</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5,059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5,576</w:t>
            </w:r>
          </w:p>
        </w:tc>
      </w:tr>
      <w:tr>
        <w:trPr>
          <w:trHeight w:val="230"/>
        </w:trPr>
        <w:tc>
          <w:tcPr>
            <w:tcW w:w="20" w:type="dxa"/>
            <w:vAlign w:val="bottom"/>
            <w:shd w:val="clear" w:color="auto" w:fill="CCEEFF"/>
          </w:tcPr>
          <w:p>
            <w:pPr>
              <w:spacing w:after="0"/>
              <w:rPr>
                <w:sz w:val="19"/>
                <w:szCs w:val="19"/>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Expected maturities exclude unamortized net discount/premium on debt issuances and debt issuance costs.</w:t>
      </w:r>
    </w:p>
    <w:p>
      <w:pPr>
        <w:spacing w:after="0" w:line="69"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As of August 2, 2020, fixed-rate debt of approximately $5,560 million with an average interest rate of 3.83% and variable-rate debt of approximately $680 million with an average interest rate of 1.42% were outstanding.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324"/>
        <w:spacing w:after="0" w:line="255" w:lineRule="auto"/>
        <w:rPr>
          <w:sz w:val="20"/>
          <w:szCs w:val="20"/>
          <w:color w:val="auto"/>
        </w:rPr>
      </w:pPr>
      <w:r>
        <w:rPr>
          <w:rFonts w:ascii="Arial" w:cs="Arial" w:eastAsia="Arial" w:hAnsi="Arial"/>
          <w:sz w:val="18"/>
          <w:szCs w:val="18"/>
          <w:color w:val="auto"/>
        </w:rPr>
        <w:t>We are exposed to foreign exchange risk, primarily the Canadian dollar, related to third-party transactions and intercompany transactions. We utilize foreign exchange forward purchase and sale contracts to hedge these exposures. The notional amounts of the contracts as of August 1, 2021, and August 2, 2020, were $147 million and $183 million, respectively. The aggregate fair value of all contracts was a loss of $2 million as of August 1, 2021, and a loss of $1 million as of August 2, 2020. A hypothetical 10% fluctuation in exchange rates would impact the fair value of our outstanding foreign exchange contracts by $17 million as of August 1, 2021, and $20 million as of August 2, 2020, which would generally be offset by inverse changes on the underlying hedged items.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enter into commodity futures, options and swap contracts, and a supply contract under which prices for certain raw materials are established based on anticipated volume requirements to reduce the volatility of price fluctuations for commodities. As of August 1, 2021, the total notional amount of the contracts was $246 million, and the aggregate fair value of these contracts was a gain of $53 million. As of August 2, 2020, the total notional amount of these contracts was $171 million, and the aggregate fair value of these contracts was a loss of $2 million. A hypothetical 10% fluctuation in commodity prices would impact the fair value of our outstanding commodity contracts by $30 million as of August 1, 2021, and $17 million as of August 2, 2020, which would generally be offset by inverse changes on the underlying hedged items.</w:t>
      </w:r>
    </w:p>
    <w:p>
      <w:pPr>
        <w:spacing w:after="0" w:line="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As of June 2021, we no longer hedge our exposure linked to the total return of our capital stock. The notional amount of the contracts was $29 million as of August 1, 2021, and $22 million as of August 2, 2020. The fair value of these contracts was a gain of $3 million as of August 1, 2021, and a gain of $4 million as of August 2, 2020 A hypothetical 10% fluctuation in equity price changes would impact the fair value of our outstanding swap contracts by $3 million as of August 1, 2021, and August 2, 2020, which would generally be offset by inverse changes on the underlying hedged items.</w:t>
      </w:r>
    </w:p>
    <w:p>
      <w:pPr>
        <w:spacing w:after="0" w:line="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Trade and consumer promotion programs — </w:t>
      </w:r>
      <w:r>
        <w:rPr>
          <w:rFonts w:ascii="Arial" w:cs="Arial" w:eastAsia="Arial" w:hAnsi="Arial"/>
          <w:sz w:val="17"/>
          <w:szCs w:val="17"/>
          <w:color w:val="auto"/>
        </w:rPr>
        <w:t>We offer various sales incentive programs to customers and consumers, such as feature price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w:t>
      </w:r>
    </w:p>
    <w:p>
      <w:pPr>
        <w:spacing w:after="0" w:line="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Valuation of long-lived assets — </w:t>
      </w:r>
      <w:r>
        <w:rPr>
          <w:rFonts w:ascii="Arial" w:cs="Arial" w:eastAsia="Arial" w:hAnsi="Arial"/>
          <w:sz w:val="18"/>
          <w:szCs w:val="18"/>
          <w:color w:val="auto"/>
        </w:rPr>
        <w:t>Fixed assets and amortizable intangible assets are reviewed for impairment as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occur indicating that the carrying value of the asset may not be recoverable. Undiscounted cash flow analyses are used to determine if impairment exists. If impairment is determined to exist, the loss is calculated based on estimated fair value.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color w:val="auto"/>
        </w:rPr>
        <w:t>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and an impairment charge will be recorded to reduce the reporting unit to fair value.</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2021 Assessments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Continuing Operations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August 1, 2021, the carrying value of goodwill was $3,981 million. Based on our assessments, all of our reporting units fair values significantly exceeded their carrying values.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1, 2021, the carrying value of indefinite-lived trademarks was $2,549 million as detailed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Various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i w:val="1"/>
                <w:iCs w:val="1"/>
                <w:color w:val="auto"/>
                <w:w w:val="89"/>
              </w:rPr>
              <w:t>Snyder's of</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Snyder's-</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i w:val="1"/>
                <w:iCs w:val="1"/>
                <w:color w:val="auto"/>
              </w:rPr>
              <w:t>Lance</w:t>
            </w:r>
          </w:p>
        </w:tc>
        <w:tc>
          <w:tcPr>
            <w:tcW w:w="28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i w:val="1"/>
                <w:iCs w:val="1"/>
                <w:color w:val="auto"/>
              </w:rPr>
              <w:t>Pace</w:t>
            </w:r>
          </w:p>
        </w:tc>
        <w:tc>
          <w:tcPr>
            <w:tcW w:w="140" w:type="dxa"/>
            <w:vAlign w:val="bottom"/>
          </w:tcPr>
          <w:p>
            <w:pPr>
              <w:spacing w:after="0"/>
              <w:rPr>
                <w:sz w:val="11"/>
                <w:szCs w:val="11"/>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4"/>
                <w:szCs w:val="14"/>
                <w:b w:val="1"/>
                <w:bCs w:val="1"/>
                <w:i w:val="1"/>
                <w:iCs w:val="1"/>
                <w:color w:val="auto"/>
                <w:w w:val="92"/>
              </w:rPr>
              <w:t>Pacific Foods</w:t>
            </w:r>
          </w:p>
        </w:tc>
        <w:tc>
          <w:tcPr>
            <w:tcW w:w="0" w:type="dxa"/>
            <w:vAlign w:val="bottom"/>
          </w:tcPr>
          <w:p>
            <w:pPr>
              <w:spacing w:after="0"/>
              <w:rPr>
                <w:sz w:val="1"/>
                <w:szCs w:val="1"/>
                <w:color w:val="auto"/>
              </w:rPr>
            </w:pPr>
          </w:p>
        </w:tc>
      </w:tr>
      <w:tr>
        <w:trPr>
          <w:trHeight w:val="188"/>
        </w:trPr>
        <w:tc>
          <w:tcPr>
            <w:tcW w:w="5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Lance</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2"/>
              </w:rPr>
              <w:t>Hanover</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Holding all other assumptions constant, changes in the assumptions below would reduce fair value of these trademarks and result in impairment charges of approximately: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Various Other</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7"/>
              </w:rPr>
              <w:t>Snyder's of</w:t>
            </w:r>
          </w:p>
        </w:tc>
        <w:tc>
          <w:tcPr>
            <w:tcW w:w="26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i w:val="1"/>
                <w:iCs w:val="1"/>
                <w:color w:val="auto"/>
              </w:rPr>
              <w:t>Lance</w:t>
            </w:r>
          </w:p>
        </w:tc>
        <w:tc>
          <w:tcPr>
            <w:tcW w:w="28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i w:val="1"/>
                <w:iCs w:val="1"/>
                <w:color w:val="auto"/>
              </w:rPr>
              <w:t>Pace</w:t>
            </w:r>
          </w:p>
        </w:tc>
        <w:tc>
          <w:tcPr>
            <w:tcW w:w="140" w:type="dxa"/>
            <w:vAlign w:val="bottom"/>
          </w:tcPr>
          <w:p>
            <w:pPr>
              <w:spacing w:after="0"/>
              <w:rPr>
                <w:sz w:val="14"/>
                <w:szCs w:val="14"/>
                <w:color w:val="auto"/>
              </w:rPr>
            </w:pPr>
          </w:p>
        </w:tc>
        <w:tc>
          <w:tcPr>
            <w:tcW w:w="10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Pacific Foods</w:t>
            </w:r>
          </w:p>
        </w:tc>
        <w:tc>
          <w:tcPr>
            <w:tcW w:w="0" w:type="dxa"/>
            <w:vAlign w:val="bottom"/>
          </w:tcPr>
          <w:p>
            <w:pPr>
              <w:spacing w:after="0"/>
              <w:rPr>
                <w:sz w:val="1"/>
                <w:szCs w:val="1"/>
                <w:color w:val="auto"/>
              </w:rPr>
            </w:pPr>
          </w:p>
        </w:tc>
      </w:tr>
      <w:tr>
        <w:trPr>
          <w:trHeight w:val="188"/>
        </w:trPr>
        <w:tc>
          <w:tcPr>
            <w:tcW w:w="4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Snyder's-Lance</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2"/>
              </w:rPr>
              <w:t>Hanover</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increase in the weighted-average cost of capital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1% reduction in revenue growth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decrease in royalty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 xml:space="preserve">While the 1% changes in assumptions would not result in impairment charges on certain trademarks as indicated above, some changes would substantially reduce the excess coverage of fair value over carrying value to less than 10% for the </w:t>
      </w:r>
      <w:r>
        <w:rPr>
          <w:rFonts w:ascii="Arial" w:cs="Arial" w:eastAsia="Arial" w:hAnsi="Arial"/>
          <w:sz w:val="18"/>
          <w:szCs w:val="18"/>
          <w:i w:val="1"/>
          <w:iCs w:val="1"/>
          <w:color w:val="auto"/>
        </w:rPr>
        <w:t>Pace, Pacific Foods,</w:t>
      </w:r>
      <w:r>
        <w:rPr>
          <w:rFonts w:ascii="Arial" w:cs="Arial" w:eastAsia="Arial" w:hAnsi="Arial"/>
          <w:sz w:val="18"/>
          <w:szCs w:val="18"/>
          <w:color w:val="auto"/>
        </w:rPr>
        <w:t xml:space="preserve"> and </w:t>
      </w:r>
      <w:r>
        <w:rPr>
          <w:rFonts w:ascii="Arial" w:cs="Arial" w:eastAsia="Arial" w:hAnsi="Arial"/>
          <w:sz w:val="18"/>
          <w:szCs w:val="18"/>
          <w:i w:val="1"/>
          <w:iCs w:val="1"/>
          <w:color w:val="auto"/>
        </w:rPr>
        <w:t>Lance</w:t>
      </w:r>
      <w:r>
        <w:rPr>
          <w:rFonts w:ascii="Arial" w:cs="Arial" w:eastAsia="Arial" w:hAnsi="Arial"/>
          <w:sz w:val="18"/>
          <w:szCs w:val="18"/>
          <w:color w:val="auto"/>
        </w:rPr>
        <w:t xml:space="preserve"> trademarks. The estimates of future cash flows involve considerable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 We will continue to monitor the valuation of our long-lived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2019 Impairment charges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2019, we recorded an impairment charge of $14 million on the U.S. refrigerated soup plant assets.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operating segment. As we continued to pursue the divestiture of these businesses and as we received initial indications of value, in the second quarter of 2019, we performed interim impairment assessments on the intangible and tangible assets within Campbell Fresh, which included Garden Fresh Gourmet, Bolthouse Farms carrot and carrot ingredients, and Bolthouse Farms refrigerated beverages and salad dressings. As a result, we revised our future outlook for earnings and cash flows for each of these businesses.</w:t>
      </w:r>
    </w:p>
    <w:p>
      <w:pPr>
        <w:spacing w:after="0" w:line="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Within Bolthouse Farms carrot and carrot ingredients, we recorded impairment charges of $18 million on the trademark, and $159 million on the plant assets and amortizable intangible assets. Within Bolthouse Farms refrigerated beverages and salad dressings, we recorded impairment charges of $74 million on the trademark, and $31 million on the plant assets and amortizable intangible assets. On Garden Fresh Gourmet, we recorded impairment charges of $23 million on the trademark and $39 million on customer relationships, which eliminated the carrying value of these assets, and $2 million on plant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jc w:val="both"/>
        <w:ind w:firstLine="324"/>
        <w:spacing w:after="0" w:line="263" w:lineRule="auto"/>
        <w:rPr>
          <w:sz w:val="20"/>
          <w:szCs w:val="20"/>
          <w:color w:val="auto"/>
        </w:rPr>
      </w:pPr>
      <w:r>
        <w:rPr>
          <w:rFonts w:ascii="Arial" w:cs="Arial" w:eastAsia="Arial" w:hAnsi="Arial"/>
          <w:sz w:val="18"/>
          <w:szCs w:val="18"/>
          <w:color w:val="auto"/>
        </w:rPr>
        <w:t>In the fourth quarter of 2019, as part of our annual review of intangible assets, we recognized an impairment charge of $7 million on a trademark and $10 million on goodwill in Kelsen due to a lower long-term outlook for sales and the pending sale of the business. On July 12, 2019, we signed a definitive agreement for the sale of our Kelsen business. We sold the business on September 23, 2019.</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to the Consolidated Financial Statements for additional information on discontinued operations.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Continuing Operations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2019, we performed an assessment on the assets within our European chips business and recorded an impairment charge of $16 million on intangible assets. This business was included in the Snacks segment and reporting unit.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5 to the Consolidated Financial Statements for additional information on goodwill and intangible assets.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Pension and postretirement benefits — </w:t>
      </w:r>
      <w:r>
        <w:rPr>
          <w:rFonts w:ascii="Arial" w:cs="Arial" w:eastAsia="Arial" w:hAnsi="Arial"/>
          <w:sz w:val="18"/>
          <w:szCs w:val="18"/>
          <w:color w:val="auto"/>
        </w:rPr>
        <w:t>We provide certain pension and postretirement benefits to employees and retirees. Determining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w:t>
      </w:r>
    </w:p>
    <w:p>
      <w:pPr>
        <w:spacing w:after="0" w:line="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We use a full yield curve approach to estimate service cost and interest cost by applying the specific spot rates along the yield curve used to determine the benefit obligation of the relevant projected cash flows.</w:t>
      </w:r>
    </w:p>
    <w:p>
      <w:pPr>
        <w:spacing w:after="0" w:line="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pension and postretirement expense (income) was $(267) million in 2021, $93 million in 2020 and $103 million in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weighted-average assumptions as of the end of the year were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195"/>
        </w:trPr>
        <w:tc>
          <w:tcPr>
            <w:tcW w:w="5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86"/>
              </w:rPr>
              <w:t>Pension</w:t>
            </w:r>
          </w:p>
        </w:tc>
        <w:tc>
          <w:tcPr>
            <w:tcW w:w="802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229"/>
        </w:trPr>
        <w:tc>
          <w:tcPr>
            <w:tcW w:w="8600" w:type="dxa"/>
            <w:vAlign w:val="bottom"/>
            <w:gridSpan w:val="3"/>
          </w:tcPr>
          <w:p>
            <w:pPr>
              <w:spacing w:after="0"/>
              <w:rPr>
                <w:sz w:val="20"/>
                <w:szCs w:val="20"/>
                <w:color w:val="auto"/>
              </w:rPr>
            </w:pPr>
            <w:r>
              <w:rPr>
                <w:rFonts w:ascii="Arial" w:cs="Arial" w:eastAsia="Arial" w:hAnsi="Arial"/>
                <w:sz w:val="18"/>
                <w:szCs w:val="18"/>
                <w:color w:val="auto"/>
              </w:rPr>
              <w:t>Discount rate for benefit obligations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7"/>
              </w:rPr>
              <w:t>2.69%</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2.47%</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3.46%</w:t>
            </w:r>
          </w:p>
        </w:tc>
      </w:tr>
      <w:tr>
        <w:trPr>
          <w:trHeight w:val="230"/>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6.85%</w:t>
            </w:r>
          </w:p>
        </w:tc>
      </w:tr>
      <w:tr>
        <w:trPr>
          <w:trHeight w:val="189"/>
        </w:trPr>
        <w:tc>
          <w:tcPr>
            <w:tcW w:w="8600" w:type="dxa"/>
            <w:vAlign w:val="bottom"/>
            <w:gridSpan w:val="3"/>
          </w:tcPr>
          <w:p>
            <w:pPr>
              <w:spacing w:after="0" w:line="189" w:lineRule="exact"/>
              <w:rPr>
                <w:sz w:val="20"/>
                <w:szCs w:val="20"/>
                <w:color w:val="auto"/>
              </w:rPr>
            </w:pPr>
            <w:r>
              <w:rPr>
                <w:rFonts w:ascii="Arial" w:cs="Arial" w:eastAsia="Arial" w:hAnsi="Arial"/>
                <w:sz w:val="18"/>
                <w:szCs w:val="18"/>
                <w:color w:val="auto"/>
              </w:rPr>
              <w:t>Postretirement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0"/>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 for obligations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2.37%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w:t>
            </w:r>
          </w:p>
        </w:tc>
      </w:tr>
      <w:tr>
        <w:trPr>
          <w:trHeight w:val="229"/>
        </w:trPr>
        <w:tc>
          <w:tcPr>
            <w:tcW w:w="8600" w:type="dxa"/>
            <w:vAlign w:val="bottom"/>
            <w:gridSpan w:val="3"/>
          </w:tcPr>
          <w:p>
            <w:pPr>
              <w:spacing w:after="0"/>
              <w:rPr>
                <w:sz w:val="20"/>
                <w:szCs w:val="20"/>
                <w:color w:val="auto"/>
              </w:rPr>
            </w:pPr>
            <w:r>
              <w:rPr>
                <w:rFonts w:ascii="Arial" w:cs="Arial" w:eastAsia="Arial" w:hAnsi="Arial"/>
                <w:sz w:val="18"/>
                <w:szCs w:val="18"/>
                <w:color w:val="auto"/>
              </w:rPr>
              <w:t>Initial health care trend rate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7"/>
              </w:rPr>
              <w:t>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6.25%</w:t>
            </w:r>
          </w:p>
        </w:tc>
      </w:tr>
      <w:tr>
        <w:trPr>
          <w:trHeight w:val="230"/>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Ultimate health care trend rate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Estimated sensitivities to annual net periodic pension and postretirement cost are as follows: a 50-basis-point decline in the discount rate would result in income of approximately $10 million and would result in an immediate loss recognition of approximately $113 million. A 50-basis-point reduction in the estimated return on assets assumption would result in expense of approximately $12 million.</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Contributions to pension plans were $2 million in 2021 and 2020, and $5 million in 2019. Contributions to pension plans are not expected to be material in 2022.</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9 to the Consolidated Financial Statements for additional information on pension and postretirement benefits.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The effective tax rate reflects statutory tax rates, tax planning opportunities available in the various jurisdictions in which we operate</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See also Notes 1 and 11 to the Consolidated Financial Statements for further discussion on income taxes.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6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impacts of, and associated responses to the COVID-19 pandemic on our business, suppliers, customers, consumers and employees;</w:t>
      </w:r>
    </w:p>
    <w:p>
      <w:pPr>
        <w:spacing w:after="0" w:line="101" w:lineRule="exact"/>
        <w:rPr>
          <w:rFonts w:ascii="Arial" w:cs="Arial" w:eastAsia="Arial" w:hAnsi="Arial"/>
          <w:sz w:val="17"/>
          <w:szCs w:val="17"/>
          <w:color w:val="auto"/>
        </w:rPr>
      </w:pPr>
    </w:p>
    <w:p>
      <w:pPr>
        <w:ind w:left="660" w:right="5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growing/maintaining our market share position in soup;</w:t>
      </w:r>
    </w:p>
    <w:p>
      <w:pPr>
        <w:spacing w:after="0" w:line="48"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4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 including the impacts of the COVID-19 pandemic;</w:t>
      </w:r>
    </w:p>
    <w:p>
      <w:pPr>
        <w:spacing w:after="0" w:line="103"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related to the availability of, and cost inflation in, supply chain inputs, including labor, raw materials, commodities, packaging and transportation;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the effectiveness of our hedging activities and our ability to respond to volatility in commodity prices;</w:t>
      </w:r>
    </w:p>
    <w:p>
      <w:pPr>
        <w:spacing w:after="0" w:line="103"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03"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03"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failure in or breach of our or our vendors' information technology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goals and initiatives related to, and the impacts of, climate change, including from weather-related events;</w:t>
      </w:r>
    </w:p>
    <w:p>
      <w:pPr>
        <w:spacing w:after="0" w:line="90"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changes and volatility in financial and credit markets, deteriorating economic conditions and other external factors, including changes in laws and regulations; and</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other pandemics or other calamities.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 entitled "Management’s Discussion and Analysis of Financial Condition and Results of Operations — Market Risk Sensitivity"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060" w:type="dxa"/>
            <w:vAlign w:val="bottom"/>
          </w:tcPr>
          <w:p>
            <w:pPr>
              <w:spacing w:after="0"/>
              <w:rPr>
                <w:sz w:val="20"/>
                <w:szCs w:val="20"/>
                <w:color w:val="auto"/>
              </w:rPr>
            </w:pPr>
          </w:p>
        </w:tc>
      </w:tr>
      <w:tr>
        <w:trPr>
          <w:trHeight w:val="594"/>
        </w:trPr>
        <w:tc>
          <w:tcPr>
            <w:tcW w:w="328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060" w:type="dxa"/>
            <w:vAlign w:val="bottom"/>
          </w:tcPr>
          <w:p>
            <w:pPr>
              <w:spacing w:after="0"/>
              <w:rPr>
                <w:sz w:val="24"/>
                <w:szCs w:val="24"/>
                <w:color w:val="auto"/>
              </w:rPr>
            </w:pPr>
          </w:p>
        </w:tc>
      </w:tr>
      <w:tr>
        <w:trPr>
          <w:trHeight w:val="614"/>
        </w:trPr>
        <w:tc>
          <w:tcPr>
            <w:tcW w:w="3280" w:type="dxa"/>
            <w:vAlign w:val="bottom"/>
          </w:tcPr>
          <w:p>
            <w:pPr>
              <w:ind w:left="40"/>
              <w:spacing w:after="0"/>
              <w:rPr>
                <w:rFonts w:ascii="Arial" w:cs="Arial" w:eastAsia="Arial" w:hAnsi="Arial"/>
                <w:sz w:val="18"/>
                <w:szCs w:val="18"/>
                <w:color w:val="0000FF"/>
              </w:rPr>
            </w:pPr>
            <w:hyperlink w:anchor="page38">
              <w:r>
                <w:rPr>
                  <w:rFonts w:ascii="Arial" w:cs="Arial" w:eastAsia="Arial" w:hAnsi="Arial"/>
                  <w:sz w:val="18"/>
                  <w:szCs w:val="18"/>
                  <w:color w:val="0000FF"/>
                </w:rPr>
                <w:t>Consolidated Statements of Earnings</w:t>
              </w:r>
            </w:hyperlink>
          </w:p>
        </w:tc>
        <w:tc>
          <w:tcPr>
            <w:tcW w:w="46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30"/>
        </w:trPr>
        <w:tc>
          <w:tcPr>
            <w:tcW w:w="8840" w:type="dxa"/>
            <w:vAlign w:val="bottom"/>
            <w:gridSpan w:val="3"/>
          </w:tcPr>
          <w:p>
            <w:pPr>
              <w:ind w:left="40"/>
              <w:spacing w:after="0"/>
              <w:rPr>
                <w:rFonts w:ascii="Arial" w:cs="Arial" w:eastAsia="Arial" w:hAnsi="Arial"/>
                <w:sz w:val="18"/>
                <w:szCs w:val="18"/>
                <w:color w:val="0000FF"/>
              </w:rPr>
            </w:pPr>
            <w:hyperlink w:anchor="page38">
              <w:r>
                <w:rPr>
                  <w:rFonts w:ascii="Arial" w:cs="Arial" w:eastAsia="Arial" w:hAnsi="Arial"/>
                  <w:sz w:val="18"/>
                  <w:szCs w:val="18"/>
                  <w:color w:val="0000FF"/>
                </w:rPr>
                <w:t xml:space="preserve">Consolidated </w:t>
              </w:r>
            </w:hyperlink>
            <w:r>
              <w:rPr>
                <w:rFonts w:ascii="Arial" w:cs="Arial" w:eastAsia="Arial" w:hAnsi="Arial"/>
                <w:sz w:val="18"/>
                <w:szCs w:val="18"/>
                <w:color w:val="0000FF"/>
              </w:rPr>
              <w:t xml:space="preserve">Statements </w:t>
            </w:r>
            <w:hyperlink w:anchor="page38">
              <w:r>
                <w:rPr>
                  <w:rFonts w:ascii="Arial" w:cs="Arial" w:eastAsia="Arial" w:hAnsi="Arial"/>
                  <w:sz w:val="18"/>
                  <w:szCs w:val="18"/>
                  <w:color w:val="0000FF"/>
                </w:rPr>
                <w:t>of Comprehensive Income</w:t>
              </w:r>
            </w:hyperlink>
          </w:p>
        </w:tc>
        <w:tc>
          <w:tcPr>
            <w:tcW w:w="10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29"/>
        </w:trPr>
        <w:tc>
          <w:tcPr>
            <w:tcW w:w="8840" w:type="dxa"/>
            <w:vAlign w:val="bottom"/>
            <w:gridSpan w:val="3"/>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Consolidated Balance Sheets</w:t>
              </w:r>
            </w:hyperlink>
          </w:p>
        </w:tc>
        <w:tc>
          <w:tcPr>
            <w:tcW w:w="106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30"/>
        </w:trPr>
        <w:tc>
          <w:tcPr>
            <w:tcW w:w="8840" w:type="dxa"/>
            <w:vAlign w:val="bottom"/>
            <w:gridSpan w:val="3"/>
          </w:tcPr>
          <w:p>
            <w:pPr>
              <w:ind w:left="40"/>
              <w:spacing w:after="0"/>
              <w:rPr>
                <w:rFonts w:ascii="Arial" w:cs="Arial" w:eastAsia="Arial" w:hAnsi="Arial"/>
                <w:sz w:val="18"/>
                <w:szCs w:val="18"/>
                <w:color w:val="0000FF"/>
              </w:rPr>
            </w:pPr>
            <w:hyperlink w:anchor="page40">
              <w:r>
                <w:rPr>
                  <w:rFonts w:ascii="Arial" w:cs="Arial" w:eastAsia="Arial" w:hAnsi="Arial"/>
                  <w:sz w:val="18"/>
                  <w:szCs w:val="18"/>
                  <w:color w:val="0000FF"/>
                </w:rPr>
                <w:t>Consolidated Statements of Cash Flows</w:t>
              </w:r>
            </w:hyperlink>
          </w:p>
        </w:tc>
        <w:tc>
          <w:tcPr>
            <w:tcW w:w="106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29"/>
        </w:trPr>
        <w:tc>
          <w:tcPr>
            <w:tcW w:w="8840" w:type="dxa"/>
            <w:vAlign w:val="bottom"/>
            <w:gridSpan w:val="3"/>
          </w:tcPr>
          <w:p>
            <w:pPr>
              <w:ind w:left="40"/>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Statements of Equity</w:t>
              </w:r>
            </w:hyperlink>
          </w:p>
        </w:tc>
        <w:tc>
          <w:tcPr>
            <w:tcW w:w="10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29"/>
        </w:trPr>
        <w:tc>
          <w:tcPr>
            <w:tcW w:w="8840" w:type="dxa"/>
            <w:vAlign w:val="bottom"/>
            <w:gridSpan w:val="3"/>
          </w:tcPr>
          <w:p>
            <w:pPr>
              <w:ind w:left="40"/>
              <w:spacing w:after="0"/>
              <w:rPr>
                <w:rFonts w:ascii="Arial" w:cs="Arial" w:eastAsia="Arial" w:hAnsi="Arial"/>
                <w:sz w:val="18"/>
                <w:szCs w:val="18"/>
                <w:color w:val="0000FF"/>
              </w:rPr>
            </w:pPr>
            <w:hyperlink w:anchor="page42">
              <w:r>
                <w:rPr>
                  <w:rFonts w:ascii="Arial" w:cs="Arial" w:eastAsia="Arial" w:hAnsi="Arial"/>
                  <w:sz w:val="18"/>
                  <w:szCs w:val="18"/>
                  <w:color w:val="0000FF"/>
                </w:rPr>
                <w:t>Notes to Consolidated Financial Statements</w:t>
              </w:r>
            </w:hyperlink>
          </w:p>
        </w:tc>
        <w:tc>
          <w:tcPr>
            <w:tcW w:w="1060" w:type="dxa"/>
            <w:vAlign w:val="bottom"/>
          </w:tcPr>
          <w:p>
            <w:pPr>
              <w:spacing w:after="0"/>
              <w:rPr>
                <w:sz w:val="19"/>
                <w:szCs w:val="19"/>
                <w:color w:val="auto"/>
              </w:rPr>
            </w:pPr>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43">
              <w:r>
                <w:rPr>
                  <w:rFonts w:ascii="Arial" w:cs="Arial" w:eastAsia="Arial" w:hAnsi="Arial"/>
                  <w:sz w:val="18"/>
                  <w:szCs w:val="18"/>
                  <w:color w:val="0000FF"/>
                </w:rPr>
                <w:t>Note 1. Summary of Significant Accounting Policies</w:t>
              </w:r>
            </w:hyperlink>
          </w:p>
        </w:tc>
        <w:tc>
          <w:tcPr>
            <w:tcW w:w="106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45">
              <w:r>
                <w:rPr>
                  <w:rFonts w:ascii="Arial" w:cs="Arial" w:eastAsia="Arial" w:hAnsi="Arial"/>
                  <w:sz w:val="18"/>
                  <w:szCs w:val="18"/>
                  <w:color w:val="0000FF"/>
                </w:rPr>
                <w:t>Note 2. Recent Accounting Pronouncements</w:t>
              </w:r>
            </w:hyperlink>
          </w:p>
        </w:tc>
        <w:tc>
          <w:tcPr>
            <w:tcW w:w="106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46">
              <w:r>
                <w:rPr>
                  <w:rFonts w:ascii="Arial" w:cs="Arial" w:eastAsia="Arial" w:hAnsi="Arial"/>
                  <w:sz w:val="18"/>
                  <w:szCs w:val="18"/>
                  <w:color w:val="0000FF"/>
                </w:rPr>
                <w:t>Note 3. Divestitures</w:t>
              </w:r>
            </w:hyperlink>
          </w:p>
        </w:tc>
        <w:tc>
          <w:tcPr>
            <w:tcW w:w="1060" w:type="dxa"/>
            <w:vAlign w:val="bottom"/>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47">
              <w:r>
                <w:rPr>
                  <w:rFonts w:ascii="Arial" w:cs="Arial" w:eastAsia="Arial" w:hAnsi="Arial"/>
                  <w:sz w:val="18"/>
                  <w:szCs w:val="18"/>
                  <w:color w:val="0000FF"/>
                </w:rPr>
                <w:t>Note 4. Accumulated Other Comprehensive Income (Loss)</w:t>
              </w:r>
            </w:hyperlink>
          </w:p>
        </w:tc>
        <w:tc>
          <w:tcPr>
            <w:tcW w:w="1060" w:type="dxa"/>
            <w:vAlign w:val="bottom"/>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49">
              <w:r>
                <w:rPr>
                  <w:rFonts w:ascii="Arial" w:cs="Arial" w:eastAsia="Arial" w:hAnsi="Arial"/>
                  <w:sz w:val="18"/>
                  <w:szCs w:val="18"/>
                  <w:color w:val="0000FF"/>
                </w:rPr>
                <w:t>Note 5. Goodwill and Intangible Assets</w:t>
              </w:r>
            </w:hyperlink>
          </w:p>
        </w:tc>
        <w:tc>
          <w:tcPr>
            <w:tcW w:w="106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50">
              <w:r>
                <w:rPr>
                  <w:rFonts w:ascii="Arial" w:cs="Arial" w:eastAsia="Arial" w:hAnsi="Arial"/>
                  <w:sz w:val="18"/>
                  <w:szCs w:val="18"/>
                  <w:color w:val="0000FF"/>
                </w:rPr>
                <w:t>Note 6. Business and Geographic Segment Information</w:t>
              </w:r>
            </w:hyperlink>
          </w:p>
        </w:tc>
        <w:tc>
          <w:tcPr>
            <w:tcW w:w="106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52">
              <w:r>
                <w:rPr>
                  <w:rFonts w:ascii="Arial" w:cs="Arial" w:eastAsia="Arial" w:hAnsi="Arial"/>
                  <w:sz w:val="18"/>
                  <w:szCs w:val="18"/>
                  <w:color w:val="0000FF"/>
                </w:rPr>
                <w:t>Note 7. Restructuring Charges and Cost Savings Initiatives</w:t>
              </w:r>
            </w:hyperlink>
          </w:p>
        </w:tc>
        <w:tc>
          <w:tcPr>
            <w:tcW w:w="106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54">
              <w:r>
                <w:rPr>
                  <w:rFonts w:ascii="Arial" w:cs="Arial" w:eastAsia="Arial" w:hAnsi="Arial"/>
                  <w:sz w:val="18"/>
                  <w:szCs w:val="18"/>
                  <w:color w:val="0000FF"/>
                </w:rPr>
                <w:t>Note 8. Earnings per Share</w:t>
              </w:r>
            </w:hyperlink>
          </w:p>
        </w:tc>
        <w:tc>
          <w:tcPr>
            <w:tcW w:w="106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54">
              <w:r>
                <w:rPr>
                  <w:rFonts w:ascii="Arial" w:cs="Arial" w:eastAsia="Arial" w:hAnsi="Arial"/>
                  <w:sz w:val="18"/>
                  <w:szCs w:val="18"/>
                  <w:color w:val="0000FF"/>
                </w:rPr>
                <w:t>Note 9. Pension and Postretirement Benefits</w:t>
              </w:r>
            </w:hyperlink>
          </w:p>
        </w:tc>
        <w:tc>
          <w:tcPr>
            <w:tcW w:w="106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60">
              <w:r>
                <w:rPr>
                  <w:rFonts w:ascii="Arial" w:cs="Arial" w:eastAsia="Arial" w:hAnsi="Arial"/>
                  <w:sz w:val="18"/>
                  <w:szCs w:val="18"/>
                  <w:color w:val="0000FF"/>
                </w:rPr>
                <w:t>Note 10. Leases</w:t>
              </w:r>
            </w:hyperlink>
          </w:p>
        </w:tc>
        <w:tc>
          <w:tcPr>
            <w:tcW w:w="10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61">
              <w:r>
                <w:rPr>
                  <w:rFonts w:ascii="Arial" w:cs="Arial" w:eastAsia="Arial" w:hAnsi="Arial"/>
                  <w:sz w:val="18"/>
                  <w:szCs w:val="18"/>
                  <w:color w:val="0000FF"/>
                </w:rPr>
                <w:t>Note 11. Taxes on Earnings</w:t>
              </w:r>
            </w:hyperlink>
          </w:p>
        </w:tc>
        <w:tc>
          <w:tcPr>
            <w:tcW w:w="1060" w:type="dxa"/>
            <w:vAlign w:val="bottom"/>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64">
              <w:r>
                <w:rPr>
                  <w:rFonts w:ascii="Arial" w:cs="Arial" w:eastAsia="Arial" w:hAnsi="Arial"/>
                  <w:sz w:val="18"/>
                  <w:szCs w:val="18"/>
                  <w:color w:val="0000FF"/>
                </w:rPr>
                <w:t>Note 12. Short-term Borrowings and Long-term Debt</w:t>
              </w:r>
            </w:hyperlink>
          </w:p>
        </w:tc>
        <w:tc>
          <w:tcPr>
            <w:tcW w:w="106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65">
              <w:r>
                <w:rPr>
                  <w:rFonts w:ascii="Arial" w:cs="Arial" w:eastAsia="Arial" w:hAnsi="Arial"/>
                  <w:sz w:val="18"/>
                  <w:szCs w:val="18"/>
                  <w:color w:val="0000FF"/>
                </w:rPr>
                <w:t>Note 13. Financial Instruments</w:t>
              </w:r>
            </w:hyperlink>
          </w:p>
        </w:tc>
        <w:tc>
          <w:tcPr>
            <w:tcW w:w="1060" w:type="dxa"/>
            <w:vAlign w:val="bottom"/>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69">
              <w:r>
                <w:rPr>
                  <w:rFonts w:ascii="Arial" w:cs="Arial" w:eastAsia="Arial" w:hAnsi="Arial"/>
                  <w:sz w:val="18"/>
                  <w:szCs w:val="18"/>
                  <w:color w:val="0000FF"/>
                </w:rPr>
                <w:t>Note 14. Variable Interest Entity</w:t>
              </w:r>
            </w:hyperlink>
          </w:p>
        </w:tc>
        <w:tc>
          <w:tcPr>
            <w:tcW w:w="10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69">
              <w:r>
                <w:rPr>
                  <w:rFonts w:ascii="Arial" w:cs="Arial" w:eastAsia="Arial" w:hAnsi="Arial"/>
                  <w:sz w:val="18"/>
                  <w:szCs w:val="18"/>
                  <w:color w:val="0000FF"/>
                </w:rPr>
                <w:t>Note 15. Fair Value Measurements</w:t>
              </w:r>
            </w:hyperlink>
          </w:p>
        </w:tc>
        <w:tc>
          <w:tcPr>
            <w:tcW w:w="10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71">
              <w:r>
                <w:rPr>
                  <w:rFonts w:ascii="Arial" w:cs="Arial" w:eastAsia="Arial" w:hAnsi="Arial"/>
                  <w:sz w:val="18"/>
                  <w:szCs w:val="18"/>
                  <w:color w:val="0000FF"/>
                </w:rPr>
                <w:t>Note 16. Shareholders' Equity</w:t>
              </w:r>
            </w:hyperlink>
          </w:p>
        </w:tc>
        <w:tc>
          <w:tcPr>
            <w:tcW w:w="1060" w:type="dxa"/>
            <w:vAlign w:val="bottom"/>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r>
      <w:tr>
        <w:trPr>
          <w:trHeight w:val="229"/>
        </w:trPr>
        <w:tc>
          <w:tcPr>
            <w:tcW w:w="8840" w:type="dxa"/>
            <w:vAlign w:val="bottom"/>
            <w:gridSpan w:val="3"/>
          </w:tcPr>
          <w:p>
            <w:pPr>
              <w:ind w:left="700"/>
              <w:spacing w:after="0"/>
              <w:rPr>
                <w:rFonts w:ascii="Arial" w:cs="Arial" w:eastAsia="Arial" w:hAnsi="Arial"/>
                <w:sz w:val="18"/>
                <w:szCs w:val="18"/>
                <w:color w:val="0000FF"/>
              </w:rPr>
            </w:pPr>
            <w:hyperlink w:anchor="page71">
              <w:r>
                <w:rPr>
                  <w:rFonts w:ascii="Arial" w:cs="Arial" w:eastAsia="Arial" w:hAnsi="Arial"/>
                  <w:sz w:val="18"/>
                  <w:szCs w:val="18"/>
                  <w:color w:val="0000FF"/>
                </w:rPr>
                <w:t>Note 17. Stock-based Compensation</w:t>
              </w:r>
            </w:hyperlink>
          </w:p>
        </w:tc>
        <w:tc>
          <w:tcPr>
            <w:tcW w:w="1060" w:type="dxa"/>
            <w:vAlign w:val="bottom"/>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74">
              <w:r>
                <w:rPr>
                  <w:rFonts w:ascii="Arial" w:cs="Arial" w:eastAsia="Arial" w:hAnsi="Arial"/>
                  <w:sz w:val="18"/>
                  <w:szCs w:val="18"/>
                  <w:color w:val="0000FF"/>
                </w:rPr>
                <w:t>Note 18. Commitments and Contingencies</w:t>
              </w:r>
            </w:hyperlink>
          </w:p>
        </w:tc>
        <w:tc>
          <w:tcPr>
            <w:tcW w:w="1060" w:type="dxa"/>
            <w:vAlign w:val="bottom"/>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75</w:t>
              </w:r>
            </w:hyperlink>
          </w:p>
        </w:tc>
      </w:tr>
      <w:tr>
        <w:trPr>
          <w:trHeight w:val="230"/>
        </w:trPr>
        <w:tc>
          <w:tcPr>
            <w:tcW w:w="8840" w:type="dxa"/>
            <w:vAlign w:val="bottom"/>
            <w:gridSpan w:val="3"/>
          </w:tcPr>
          <w:p>
            <w:pPr>
              <w:ind w:left="700"/>
              <w:spacing w:after="0"/>
              <w:rPr>
                <w:rFonts w:ascii="Arial" w:cs="Arial" w:eastAsia="Arial" w:hAnsi="Arial"/>
                <w:sz w:val="18"/>
                <w:szCs w:val="18"/>
                <w:color w:val="0000FF"/>
              </w:rPr>
            </w:pPr>
            <w:hyperlink w:anchor="page75">
              <w:r>
                <w:rPr>
                  <w:rFonts w:ascii="Arial" w:cs="Arial" w:eastAsia="Arial" w:hAnsi="Arial"/>
                  <w:sz w:val="18"/>
                  <w:szCs w:val="18"/>
                  <w:color w:val="0000FF"/>
                </w:rPr>
                <w:t>Note 19. Supplemental Financial Statement Data</w:t>
              </w:r>
            </w:hyperlink>
          </w:p>
        </w:tc>
        <w:tc>
          <w:tcPr>
            <w:tcW w:w="1060" w:type="dxa"/>
            <w:vAlign w:val="bottom"/>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37" w:name="page38"/>
    <w:bookmarkEnd w:id="3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r>
      <w:tr>
        <w:trPr>
          <w:trHeight w:val="187"/>
        </w:trPr>
        <w:tc>
          <w:tcPr>
            <w:tcW w:w="7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52 weeks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53 weeks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52 weeks</w:t>
            </w:r>
          </w:p>
        </w:tc>
      </w:tr>
      <w:tr>
        <w:trPr>
          <w:trHeight w:val="224"/>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8,476</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 (income)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earnings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Per Share — Basic</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1"/>
        </w:trPr>
        <w:tc>
          <w:tcPr>
            <w:tcW w:w="78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Weighted average shares outstanding — basic</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3"/>
                <w:szCs w:val="23"/>
                <w:b w:val="1"/>
                <w:bCs w:val="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7"/>
          <w:szCs w:val="17"/>
          <w:color w:val="auto"/>
        </w:rPr>
        <w:t>Sum of the individual amounts may not add due to rounding</w:t>
      </w:r>
      <w:r>
        <w:rPr>
          <w:rFonts w:ascii="Arial" w:cs="Arial" w:eastAsia="Arial" w:hAnsi="Arial"/>
          <w:sz w:val="14"/>
          <w:szCs w:val="14"/>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52 weeks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53 weeks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52 weeks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gridSpan w:val="2"/>
          </w:tcPr>
          <w:p>
            <w:pPr>
              <w:ind w:left="300"/>
              <w:spacing w:after="0"/>
              <w:rPr>
                <w:sz w:val="20"/>
                <w:szCs w:val="20"/>
                <w:color w:val="auto"/>
              </w:rPr>
            </w:pPr>
            <w:r>
              <w:rPr>
                <w:rFonts w:ascii="Arial" w:cs="Arial" w:eastAsia="Arial" w:hAnsi="Arial"/>
                <w:sz w:val="16"/>
                <w:szCs w:val="16"/>
                <w:color w:val="auto"/>
                <w:w w:val="91"/>
              </w:rPr>
              <w:t xml:space="preserve">Foreign currency translation adjustments </w:t>
            </w:r>
            <w:r>
              <w:rPr>
                <w:rFonts w:ascii="Arial" w:cs="Arial" w:eastAsia="Arial" w:hAnsi="Arial"/>
                <w:sz w:val="16"/>
                <w:szCs w:val="16"/>
                <w:b w:val="1"/>
                <w:bCs w:val="1"/>
                <w:color w:val="auto"/>
                <w:w w:val="91"/>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ind w:left="300"/>
              <w:spacing w:after="0" w:line="168" w:lineRule="exact"/>
              <w:rPr>
                <w:sz w:val="20"/>
                <w:szCs w:val="20"/>
                <w:color w:val="auto"/>
              </w:rPr>
            </w:pPr>
            <w:r>
              <w:rPr>
                <w:rFonts w:ascii="Arial" w:cs="Arial" w:eastAsia="Arial" w:hAnsi="Arial"/>
                <w:sz w:val="16"/>
                <w:szCs w:val="16"/>
                <w:color w:val="auto"/>
                <w:w w:val="98"/>
              </w:rPr>
              <w:t>Reclassification of currency translation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adjustments realized upon disposal of</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business</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b w:val="1"/>
                <w:bCs w:val="1"/>
                <w:color w:val="auto"/>
              </w:rPr>
              <w:t>Cash-flow hedges: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ind w:left="300"/>
              <w:spacing w:after="0" w:line="168" w:lineRule="exact"/>
              <w:rPr>
                <w:sz w:val="20"/>
                <w:szCs w:val="20"/>
                <w:color w:val="auto"/>
              </w:rPr>
            </w:pPr>
            <w:r>
              <w:rPr>
                <w:rFonts w:ascii="Arial" w:cs="Arial" w:eastAsia="Arial" w:hAnsi="Arial"/>
                <w:sz w:val="16"/>
                <w:szCs w:val="16"/>
                <w:color w:val="auto"/>
                <w:w w:val="95"/>
              </w:rPr>
              <w:t>Unrealized gains (losses) arising during</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period</w:t>
            </w: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300"/>
              <w:spacing w:after="0" w:line="166" w:lineRule="exact"/>
              <w:rPr>
                <w:sz w:val="20"/>
                <w:szCs w:val="20"/>
                <w:color w:val="auto"/>
              </w:rPr>
            </w:pPr>
            <w:r>
              <w:rPr>
                <w:rFonts w:ascii="Arial" w:cs="Arial" w:eastAsia="Arial" w:hAnsi="Arial"/>
                <w:sz w:val="16"/>
                <w:szCs w:val="16"/>
                <w:color w:val="auto"/>
                <w:w w:val="99"/>
              </w:rPr>
              <w:t>Reclassification adjustment for (gains)</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300"/>
              <w:spacing w:after="0"/>
              <w:rPr>
                <w:sz w:val="20"/>
                <w:szCs w:val="20"/>
                <w:color w:val="auto"/>
              </w:rPr>
            </w:pPr>
            <w:r>
              <w:rPr>
                <w:rFonts w:ascii="Arial" w:cs="Arial" w:eastAsia="Arial" w:hAnsi="Arial"/>
                <w:sz w:val="16"/>
                <w:szCs w:val="16"/>
                <w:color w:val="auto"/>
              </w:rPr>
              <w:t>losses included in net earnings</w:t>
            </w: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b w:val="1"/>
                <w:bCs w:val="1"/>
                <w:color w:val="auto"/>
              </w:rPr>
              <w:t>Pension and other postretirement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benefits: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300"/>
              <w:spacing w:after="0" w:line="166" w:lineRule="exact"/>
              <w:rPr>
                <w:sz w:val="20"/>
                <w:szCs w:val="20"/>
                <w:color w:val="auto"/>
              </w:rPr>
            </w:pPr>
            <w:r>
              <w:rPr>
                <w:rFonts w:ascii="Arial" w:cs="Arial" w:eastAsia="Arial" w:hAnsi="Arial"/>
                <w:sz w:val="16"/>
                <w:szCs w:val="16"/>
                <w:color w:val="auto"/>
              </w:rPr>
              <w:t>Prior service credit arising during the</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300"/>
              <w:spacing w:after="0"/>
              <w:rPr>
                <w:sz w:val="20"/>
                <w:szCs w:val="20"/>
                <w:color w:val="auto"/>
              </w:rPr>
            </w:pPr>
            <w:r>
              <w:rPr>
                <w:rFonts w:ascii="Arial" w:cs="Arial" w:eastAsia="Arial" w:hAnsi="Arial"/>
                <w:sz w:val="16"/>
                <w:szCs w:val="16"/>
                <w:color w:val="auto"/>
              </w:rPr>
              <w:t>period</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Reclassification of prior service credit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included in net earnings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1,013</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6"/>
                <w:szCs w:val="16"/>
                <w:color w:val="auto"/>
              </w:rPr>
              <w:t>Total comprehensive income (loss)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attributable to noncontrolling interests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Total comprehensive income (loss)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1,017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3"/>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7"/>
              </w:rPr>
              <w:t>attributable to Campbell Soup Company</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jc w:val="right"/>
              <w:ind w:right="331"/>
              <w:spacing w:after="0"/>
              <w:rPr>
                <w:sz w:val="20"/>
                <w:szCs w:val="20"/>
                <w:color w:val="auto"/>
              </w:rPr>
            </w:pPr>
            <w:r>
              <w:rPr>
                <w:rFonts w:ascii="Arial" w:cs="Arial" w:eastAsia="Arial" w:hAnsi="Arial"/>
                <w:sz w:val="14"/>
                <w:szCs w:val="14"/>
                <w:b w:val="1"/>
                <w:bCs w:val="1"/>
                <w:color w:val="auto"/>
              </w:rPr>
              <w:t>August 1,</w:t>
            </w:r>
          </w:p>
        </w:tc>
        <w:tc>
          <w:tcPr>
            <w:tcW w:w="300" w:type="dxa"/>
            <w:vAlign w:val="bottom"/>
          </w:tcPr>
          <w:p>
            <w:pPr>
              <w:spacing w:after="0"/>
              <w:rPr>
                <w:sz w:val="14"/>
                <w:szCs w:val="14"/>
                <w:color w:val="auto"/>
              </w:rPr>
            </w:pPr>
          </w:p>
        </w:tc>
        <w:tc>
          <w:tcPr>
            <w:tcW w:w="1080" w:type="dxa"/>
            <w:vAlign w:val="bottom"/>
          </w:tcPr>
          <w:p>
            <w:pPr>
              <w:jc w:val="right"/>
              <w:ind w:right="271"/>
              <w:spacing w:after="0"/>
              <w:rPr>
                <w:sz w:val="20"/>
                <w:szCs w:val="20"/>
                <w:color w:val="auto"/>
              </w:rPr>
            </w:pPr>
            <w:r>
              <w:rPr>
                <w:rFonts w:ascii="Arial" w:cs="Arial" w:eastAsia="Arial" w:hAnsi="Arial"/>
                <w:sz w:val="14"/>
                <w:szCs w:val="14"/>
                <w:b w:val="1"/>
                <w:bCs w:val="1"/>
                <w:color w:val="auto"/>
              </w:rPr>
              <w:t>August 2,</w:t>
            </w:r>
          </w:p>
        </w:tc>
      </w:tr>
      <w:tr>
        <w:trPr>
          <w:trHeight w:val="188"/>
        </w:trPr>
        <w:tc>
          <w:tcPr>
            <w:tcW w:w="6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9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30"/>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69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933</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6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7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1,695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Plant assets, net of depreciation</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2,370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3,981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amortization</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3,239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30"/>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48"/>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11,734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20" w:type="dxa"/>
            <w:vAlign w:val="bottom"/>
          </w:tcPr>
          <w:p>
            <w:pPr>
              <w:spacing w:after="0" w:line="203" w:lineRule="exact"/>
              <w:rPr>
                <w:sz w:val="20"/>
                <w:szCs w:val="20"/>
                <w:color w:val="auto"/>
              </w:rPr>
            </w:pPr>
            <w:r>
              <w:rPr>
                <w:rFonts w:ascii="Arial" w:cs="Arial" w:eastAsia="Arial" w:hAnsi="Arial"/>
                <w:sz w:val="18"/>
                <w:szCs w:val="18"/>
                <w:b w:val="1"/>
                <w:bCs w:val="1"/>
                <w:color w:val="auto"/>
              </w:rPr>
              <w:t>Current liabilities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9"/>
        </w:trPr>
        <w:tc>
          <w:tcPr>
            <w:tcW w:w="6920" w:type="dxa"/>
            <w:vAlign w:val="bottom"/>
          </w:tcPr>
          <w:p>
            <w:pPr>
              <w:ind w:left="120"/>
              <w:spacing w:after="0"/>
              <w:rPr>
                <w:sz w:val="20"/>
                <w:szCs w:val="20"/>
                <w:color w:val="auto"/>
              </w:rPr>
            </w:pPr>
            <w:r>
              <w:rPr>
                <w:rFonts w:ascii="Arial" w:cs="Arial" w:eastAsia="Arial" w:hAnsi="Arial"/>
                <w:sz w:val="18"/>
                <w:szCs w:val="18"/>
                <w:color w:val="auto"/>
              </w:rPr>
              <w:t>Payable to suppliers and others</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1,070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576</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692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115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Accrued income taxes</w:t>
            </w:r>
          </w:p>
        </w:tc>
        <w:tc>
          <w:tcPr>
            <w:tcW w:w="17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1,814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5,010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Deferred taxes</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1,051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3"/>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8,580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w:t>
            </w: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b w:val="1"/>
                <w:bCs w:val="1"/>
                <w:color w:val="auto"/>
              </w:rPr>
              <w:t>Campbell Soup Company shareholders' equity</w:t>
            </w: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authorized 40 shares; none issued</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ind w:left="12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414</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920" w:type="dxa"/>
            <w:vAlign w:val="bottom"/>
          </w:tcPr>
          <w:p>
            <w:pPr>
              <w:ind w:left="120"/>
              <w:spacing w:after="0"/>
              <w:rPr>
                <w:sz w:val="20"/>
                <w:szCs w:val="20"/>
                <w:color w:val="auto"/>
              </w:rPr>
            </w:pPr>
            <w:r>
              <w:rPr>
                <w:rFonts w:ascii="Arial" w:cs="Arial" w:eastAsia="Arial" w:hAnsi="Arial"/>
                <w:sz w:val="18"/>
                <w:szCs w:val="18"/>
                <w:color w:val="auto"/>
              </w:rPr>
              <w:t>Earnings retained in the business</w:t>
            </w:r>
          </w:p>
        </w:tc>
        <w:tc>
          <w:tcPr>
            <w:tcW w:w="17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3,742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29"/>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stock in treasury, at cost</w:t>
            </w:r>
          </w:p>
        </w:tc>
        <w:tc>
          <w:tcPr>
            <w:tcW w:w="1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6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7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3,152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r>
      <w:tr>
        <w:trPr>
          <w:trHeight w:val="223"/>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7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3,154</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11,734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87"/>
        </w:trPr>
        <w:tc>
          <w:tcPr>
            <w:tcW w:w="7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52 weeks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53 weeks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52 weeks</w:t>
            </w:r>
          </w:p>
        </w:tc>
      </w:tr>
      <w:tr>
        <w:trPr>
          <w:trHeight w:val="170"/>
        </w:trPr>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earnings to operating cash flow</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Impairment charges</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393</w:t>
            </w:r>
          </w:p>
        </w:tc>
      </w:tr>
      <w:tr>
        <w:trPr>
          <w:trHeight w:val="190"/>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Restructuring charges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90"/>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Pension and postretirement benefit expense (income)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190"/>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Net loss (gain) on sales of businesses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0"/>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Investment losses</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6"/>
        </w:trPr>
        <w:tc>
          <w:tcPr>
            <w:tcW w:w="7680" w:type="dxa"/>
            <w:vAlign w:val="bottom"/>
          </w:tcPr>
          <w:p>
            <w:pPr>
              <w:ind w:left="120"/>
              <w:spacing w:after="0"/>
              <w:rPr>
                <w:sz w:val="20"/>
                <w:szCs w:val="20"/>
                <w:color w:val="auto"/>
              </w:rPr>
            </w:pPr>
            <w:r>
              <w:rPr>
                <w:rFonts w:ascii="Arial" w:cs="Arial" w:eastAsia="Arial" w:hAnsi="Arial"/>
                <w:sz w:val="14"/>
                <w:szCs w:val="14"/>
                <w:color w:val="auto"/>
              </w:rPr>
              <w:t>Changes in working capital, net of acquisitions and divestitures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2"/>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90"/>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assets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7680" w:type="dxa"/>
            <w:vAlign w:val="bottom"/>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9"/>
        </w:trPr>
        <w:tc>
          <w:tcPr>
            <w:tcW w:w="7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3"/>
        </w:trPr>
        <w:tc>
          <w:tcPr>
            <w:tcW w:w="76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w:t>
            </w:r>
          </w:p>
        </w:tc>
      </w:tr>
      <w:tr>
        <w:trPr>
          <w:trHeight w:val="184"/>
        </w:trPr>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Purchases of plant assets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route businesses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Sales of route businesses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acquired, net of cash acquired</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Sales of businesses, net of cash divested</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investment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7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2,272</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3"/>
        </w:trPr>
        <w:tc>
          <w:tcPr>
            <w:tcW w:w="76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borrowings, including commercial paper and revolving line of credit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w:t>
            </w: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Short-term repayments, including commercial paper and revolving line of credit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(6,296)</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Long-term repayments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(702)</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Treasury stock purchases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issuances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80" w:type="dxa"/>
            <w:vAlign w:val="bottom"/>
          </w:tcPr>
          <w:p>
            <w:pPr>
              <w:ind w:left="120"/>
              <w:spacing w:after="0"/>
              <w:rPr>
                <w:sz w:val="20"/>
                <w:szCs w:val="20"/>
                <w:color w:val="auto"/>
              </w:rPr>
            </w:pPr>
            <w:r>
              <w:rPr>
                <w:rFonts w:ascii="Arial" w:cs="Arial" w:eastAsia="Arial" w:hAnsi="Arial"/>
                <w:sz w:val="14"/>
                <w:szCs w:val="14"/>
                <w:color w:val="auto"/>
              </w:rPr>
              <w:t>Payments related to tax withholding for stock-based compensation</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0"/>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related to extinguishment of debt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Payments of debt issuance costs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7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(1,669)</w:t>
            </w: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(2,987)</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r>
      <w:tr>
        <w:trPr>
          <w:trHeight w:val="183"/>
        </w:trPr>
        <w:tc>
          <w:tcPr>
            <w:tcW w:w="7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84"/>
        </w:trPr>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change in cash and cash equivalents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8"/>
        </w:trPr>
        <w:tc>
          <w:tcPr>
            <w:tcW w:w="7680" w:type="dxa"/>
            <w:vAlign w:val="bottom"/>
          </w:tcPr>
          <w:p>
            <w:pPr>
              <w:spacing w:after="0"/>
              <w:rPr>
                <w:sz w:val="20"/>
                <w:szCs w:val="20"/>
                <w:color w:val="auto"/>
              </w:rPr>
            </w:pPr>
            <w:r>
              <w:rPr>
                <w:rFonts w:ascii="Arial" w:cs="Arial" w:eastAsia="Arial" w:hAnsi="Arial"/>
                <w:sz w:val="14"/>
                <w:szCs w:val="14"/>
                <w:b w:val="1"/>
                <w:bCs w:val="1"/>
                <w:color w:val="auto"/>
              </w:rPr>
              <w:t>Cash and cash equivalents — beginning of period (including discontinued operations)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189"/>
        </w:trPr>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Less cash and cash equivalents discontinued operations - end of period</w:t>
            </w: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3"/>
        </w:trPr>
        <w:tc>
          <w:tcPr>
            <w:tcW w:w="7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2"/>
        </w:trPr>
        <w:tc>
          <w:tcPr>
            <w:tcW w:w="7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right"/>
              <w:ind w:right="469"/>
              <w:spacing w:after="0"/>
              <w:rPr>
                <w:sz w:val="20"/>
                <w:szCs w:val="20"/>
                <w:color w:val="auto"/>
              </w:rPr>
            </w:pPr>
            <w:r>
              <w:rPr>
                <w:rFonts w:ascii="Arial" w:cs="Arial" w:eastAsia="Arial" w:hAnsi="Arial"/>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66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Issued</w:t>
            </w:r>
          </w:p>
        </w:tc>
        <w:tc>
          <w:tcPr>
            <w:tcW w:w="1580" w:type="dxa"/>
            <w:vAlign w:val="bottom"/>
            <w:gridSpan w:val="3"/>
          </w:tcPr>
          <w:p>
            <w:pPr>
              <w:jc w:val="right"/>
              <w:ind w:right="348"/>
              <w:spacing w:after="0" w:line="149" w:lineRule="exact"/>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89"/>
              <w:spacing w:after="0" w:line="149"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restart"/>
          </w:tcPr>
          <w:p>
            <w:pPr>
              <w:jc w:val="right"/>
              <w:ind w:right="89"/>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880" w:type="dxa"/>
            <w:vAlign w:val="bottom"/>
            <w:vMerge w:val="restart"/>
          </w:tcPr>
          <w:p>
            <w:pPr>
              <w:jc w:val="center"/>
              <w:ind w:right="69"/>
              <w:spacing w:after="0" w:line="108" w:lineRule="exact"/>
              <w:rPr>
                <w:sz w:val="20"/>
                <w:szCs w:val="20"/>
                <w:color w:val="auto"/>
              </w:rPr>
            </w:pPr>
            <w:r>
              <w:rPr>
                <w:rFonts w:ascii="Arial" w:cs="Arial" w:eastAsia="Arial" w:hAnsi="Arial"/>
                <w:sz w:val="12"/>
                <w:szCs w:val="12"/>
                <w:b w:val="1"/>
                <w:bCs w:val="1"/>
                <w:color w:val="auto"/>
              </w:rPr>
              <w:t>Retained in</w:t>
            </w:r>
          </w:p>
        </w:tc>
        <w:tc>
          <w:tcPr>
            <w:tcW w:w="1340" w:type="dxa"/>
            <w:vAlign w:val="bottom"/>
            <w:gridSpan w:val="2"/>
            <w:vMerge w:val="restart"/>
          </w:tcPr>
          <w:p>
            <w:pPr>
              <w:ind w:left="100"/>
              <w:spacing w:after="0" w:line="108" w:lineRule="exact"/>
              <w:rPr>
                <w:sz w:val="20"/>
                <w:szCs w:val="20"/>
                <w:color w:val="auto"/>
              </w:rPr>
            </w:pPr>
            <w:r>
              <w:rPr>
                <w:rFonts w:ascii="Arial" w:cs="Arial" w:eastAsia="Arial" w:hAnsi="Arial"/>
                <w:sz w:val="12"/>
                <w:szCs w:val="12"/>
                <w:b w:val="1"/>
                <w:bCs w:val="1"/>
                <w:color w:val="auto"/>
              </w:rPr>
              <w:t>Accumulated Other</w:t>
            </w:r>
          </w:p>
        </w:tc>
        <w:tc>
          <w:tcPr>
            <w:tcW w:w="240" w:type="dxa"/>
            <w:vAlign w:val="bottom"/>
          </w:tcPr>
          <w:p>
            <w:pPr>
              <w:spacing w:after="0"/>
              <w:rPr>
                <w:sz w:val="4"/>
                <w:szCs w:val="4"/>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4"/>
                <w:szCs w:val="4"/>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840" w:type="dxa"/>
            <w:vAlign w:val="bottom"/>
          </w:tcPr>
          <w:p>
            <w:pPr>
              <w:jc w:val="right"/>
              <w:ind w:right="189"/>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880" w:type="dxa"/>
            <w:vAlign w:val="bottom"/>
          </w:tcPr>
          <w:p>
            <w:pPr>
              <w:jc w:val="center"/>
              <w:ind w:right="69"/>
              <w:spacing w:after="0" w:line="135"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11"/>
                <w:szCs w:val="11"/>
                <w:color w:val="auto"/>
              </w:rPr>
            </w:pPr>
          </w:p>
        </w:tc>
        <w:tc>
          <w:tcPr>
            <w:tcW w:w="1160" w:type="dxa"/>
            <w:vAlign w:val="bottom"/>
          </w:tcPr>
          <w:p>
            <w:pPr>
              <w:jc w:val="right"/>
              <w:ind w:right="88"/>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29, 2018</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2,224</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40" w:type="dxa"/>
            <w:vAlign w:val="bottom"/>
          </w:tcPr>
          <w:p>
            <w:pPr>
              <w:ind w:left="20"/>
              <w:spacing w:after="0" w:line="113" w:lineRule="exact"/>
              <w:rPr>
                <w:sz w:val="20"/>
                <w:szCs w:val="20"/>
                <w:color w:val="auto"/>
              </w:rPr>
            </w:pPr>
            <w:r>
              <w:rPr>
                <w:rFonts w:ascii="Arial" w:cs="Arial" w:eastAsia="Arial" w:hAnsi="Arial"/>
                <w:sz w:val="13"/>
                <w:szCs w:val="13"/>
                <w:color w:val="auto"/>
              </w:rPr>
              <w:t>Cumulative effect of changes in</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accounting principle: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(1)</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line="189" w:lineRule="exact"/>
              <w:rPr>
                <w:sz w:val="20"/>
                <w:szCs w:val="20"/>
                <w:color w:val="auto"/>
              </w:rPr>
            </w:pPr>
            <w:r>
              <w:rPr>
                <w:rFonts w:ascii="Arial" w:cs="Arial" w:eastAsia="Arial" w:hAnsi="Arial"/>
                <w:sz w:val="14"/>
                <w:szCs w:val="14"/>
                <w:color w:val="auto"/>
              </w:rPr>
              <w:t>Stranded tax effects</w:t>
            </w:r>
            <w:r>
              <w:rPr>
                <w:rFonts w:ascii="Arial" w:cs="Arial" w:eastAsia="Arial" w:hAnsi="Arial"/>
                <w:sz w:val="18"/>
                <w:szCs w:val="18"/>
                <w:color w:val="auto"/>
                <w:vertAlign w:val="superscript"/>
              </w:rPr>
              <w:t>(1)</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211</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Other comprehensive income</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11"/>
                <w:szCs w:val="1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(loss)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($1.40 per share)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Treasury stock issued under</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management incentive and stock</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4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Balance at July 28, 2019</w:t>
            </w:r>
          </w:p>
        </w:tc>
        <w:tc>
          <w:tcPr>
            <w:tcW w:w="760" w:type="dxa"/>
            <w:vAlign w:val="bottom"/>
            <w:tcBorders>
              <w:bottom w:val="single" w:sz="8" w:color="auto"/>
            </w:tcBorders>
          </w:tcPr>
          <w:p>
            <w:pPr>
              <w:jc w:val="right"/>
              <w:ind w:right="28"/>
              <w:spacing w:after="0" w:line="159" w:lineRule="exact"/>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(1,076)</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
              <w:spacing w:after="0" w:line="159" w:lineRule="exact"/>
              <w:rPr>
                <w:sz w:val="20"/>
                <w:szCs w:val="20"/>
                <w:color w:val="auto"/>
              </w:rPr>
            </w:pPr>
            <w:r>
              <w:rPr>
                <w:rFonts w:ascii="Arial" w:cs="Arial" w:eastAsia="Arial" w:hAnsi="Arial"/>
                <w:sz w:val="14"/>
                <w:szCs w:val="14"/>
                <w:color w:val="auto"/>
              </w:rPr>
              <w:t>372</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1,993</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(198)</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8"/>
              <w:spacing w:after="0" w:line="159" w:lineRule="exact"/>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1,628</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Divestiture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Other comprehensive income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Dividends ($1.40 per share)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(428)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Treasury stock issued under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w w:val="97"/>
              </w:rPr>
              <w:t>management incentive and stock</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1"/>
                <w:szCs w:val="11"/>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40" w:type="dxa"/>
            <w:vAlign w:val="bottom"/>
            <w:tcBorders>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at August 2, 2020</w:t>
            </w:r>
          </w:p>
        </w:tc>
        <w:tc>
          <w:tcPr>
            <w:tcW w:w="760" w:type="dxa"/>
            <w:vAlign w:val="bottom"/>
            <w:tcBorders>
              <w:bottom w:val="single" w:sz="8" w:color="auto"/>
            </w:tcBorders>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(1,023)</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line="159" w:lineRule="exact"/>
              <w:rPr>
                <w:sz w:val="20"/>
                <w:szCs w:val="20"/>
                <w:color w:val="auto"/>
              </w:rPr>
            </w:pPr>
            <w:r>
              <w:rPr>
                <w:rFonts w:ascii="Arial" w:cs="Arial" w:eastAsia="Arial" w:hAnsi="Arial"/>
                <w:sz w:val="14"/>
                <w:szCs w:val="14"/>
                <w:color w:val="auto"/>
              </w:rPr>
              <w:t>394</w:t>
            </w: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3,190</w:t>
            </w: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1,002</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1,002</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Other comprehensive income</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Dividends ($1.46 per share)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(444)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(444)</w:t>
            </w:r>
          </w:p>
        </w:tc>
        <w:tc>
          <w:tcPr>
            <w:tcW w:w="0" w:type="dxa"/>
            <w:vAlign w:val="bottom"/>
          </w:tcPr>
          <w:p>
            <w:pPr>
              <w:spacing w:after="0"/>
              <w:rPr>
                <w:sz w:val="1"/>
                <w:szCs w:val="1"/>
                <w:color w:val="auto"/>
              </w:rPr>
            </w:pPr>
          </w:p>
        </w:tc>
      </w:tr>
      <w:tr>
        <w:trPr>
          <w:trHeight w:val="19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Treasury stock issued under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management incentive and stock</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220" w:type="dxa"/>
            <w:vAlign w:val="bottom"/>
          </w:tcPr>
          <w:p>
            <w:pPr>
              <w:spacing w:after="0"/>
              <w:rPr>
                <w:sz w:val="11"/>
                <w:szCs w:val="11"/>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20</w:t>
            </w:r>
          </w:p>
        </w:tc>
        <w:tc>
          <w:tcPr>
            <w:tcW w:w="18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August 1, 2021</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3,742</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See Note 2 for additional detail.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8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this Report, unless otherwise stated, the terms "we," "us," "our" and the "company" refer to Campbell Soup Company and its consolidated subsidiaries.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manufacturer and marketer of high-quality, branded food and beverage products.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consolidated financial statements include our accounts and entities in which we maintain a controlling financial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a variable interest entity (VIE) for which we were the primary beneficiary. Intercompany transactions are eliminated in consolidation. Our fiscal year ends on the Sunday nearest July 31. There were 52 weeks in 2021 and 2019, and 53 weeks in 2020.</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We present discontinued operations when there is a disposal of a component group or a group of components that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represents a strategic shift that will have a major effect on our operations and financial results. We aggregate the results of operations for discontinued operations into a single line item in the Consolidated Statements of Earnings for all periods presented. General corporate overhead is not allocated to discontinued operations. See Note 3 for additional information.</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Generally accepted accounting principles require management to make estimates and assumptions that affect assets,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expenses. Actual results could differ from those estimates.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Our revenues primarily consist of the sale of food and beverage products through our own sales force and/or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brokers and distribution partners. Revenues are recognized when our performance obligation has been satisfied and control of the product passes to our customers, which typically occurs when products are delivered or accepted by customers in accordance with terms of agreements. We make shipments promptly after acceptance of orders.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6 for additional information on disaggregation of revenue. In 2019, we adopted revised guidance on the recognition of revenue from contracts with customers. See Note 2 for additional information.</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All inventories are valued at the lower of average cost or net realizable value.</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3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 Goodwill and intangible assets deemed to have indefinite lives are not amortized but rather are tested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annually 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and an impairment charge will be recorded to reduce the reporting unit to fair value.</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using a relief from royalty valuation method based on discounted cash flow analyses that include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significant management assumptions such as revenue growth rates, weighted average costs of capital and assumed royalty rates. If the carrying value exceeds fair value, an impairment charge will be recorded to reduce the asset to fair value.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5 for information on intangible assets and impairment charges.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At the beginning of the first quarter of 2020, we adopted new guidance on accounting for leases. We determine if an agreement is or contains</w:t>
      </w:r>
      <w:r>
        <w:rPr>
          <w:rFonts w:ascii="Arial" w:cs="Arial" w:eastAsia="Arial" w:hAnsi="Arial"/>
          <w:sz w:val="18"/>
          <w:szCs w:val="18"/>
          <w:i w:val="1"/>
          <w:iCs w:val="1"/>
          <w:color w:val="auto"/>
        </w:rPr>
        <w:t xml:space="preserve"> </w:t>
      </w:r>
      <w:r>
        <w:rPr>
          <w:rFonts w:ascii="Arial" w:cs="Arial" w:eastAsia="Arial" w:hAnsi="Arial"/>
          <w:sz w:val="18"/>
          <w:szCs w:val="18"/>
          <w:color w:val="auto"/>
        </w:rPr>
        <w:t>a lease at inception by evaluating if an identified asset exists that we control for a period of time. When a lease exists, we record a right-of-use (ROU) asset and a corresponding lease liability on our Consolidated Balance Sheet. ROU assets represent our right to use an underlying asset for the lease term and the corresponding liabilities represent an obligation to make lease payments during the term. We have elected not to record leases with a term of 12 months or less on our Consolidated Balance Sheet.</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on our Consolidated Balance Sheet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over the lease term and is recorded in Interest expense (based on a front-loaded interest expense pattern).</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2 and 10 for more information.</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use derivative financial instruments primarily for purposes of hedging exposures to fluctuations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spacing w:after="0" w:line="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Changes in the fair value of derivatives that are not designated for hedge accounting are recognized in current-period earnings.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Cash flows from derivative contracts are included in Net cash provided by operating activities.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Production Costs </w:t>
      </w:r>
      <w:r>
        <w:rPr>
          <w:rFonts w:ascii="Arial" w:cs="Arial" w:eastAsia="Arial" w:hAnsi="Arial"/>
          <w:sz w:val="18"/>
          <w:szCs w:val="18"/>
          <w:color w:val="auto"/>
        </w:rPr>
        <w:t>— Advertising production costs are expensed in the period that the advertisement first takes place or when a decision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not to use an advertisement.</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 The costs of research and development are expensed as incurred. Costs include expenditures for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Deferred tax assets and liabilities are recognized for the future impact of differences between the financial statement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22" w:lineRule="exact"/>
        <w:rPr>
          <w:sz w:val="20"/>
          <w:szCs w:val="20"/>
          <w:color w:val="auto"/>
        </w:rPr>
      </w:pPr>
    </w:p>
    <w:p>
      <w:pPr>
        <w:ind w:left="340" w:right="8260" w:hanging="332"/>
        <w:spacing w:after="0" w:line="407" w:lineRule="auto"/>
        <w:tabs>
          <w:tab w:leader="none" w:pos="19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u w:val="single" w:color="auto"/>
          <w:color w:val="auto"/>
        </w:rPr>
        <w:t>Recently Adopted</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We adopted the guidance in the first quarter of 2019, effective on July 30, 2018,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3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most leases on the balance sheet but will recognize expenses similar to current lease accounting. The guidance is effective for fiscal years, and interim periods within those years, beginning after December 15, 2018. In July 2018, the FASB issued an adoption approach that allows entities to apply the new guidance and recognize a cumulative-effect adjustment to the opening balance of retained earnings in the period of adoption without restating prior periods. We adopted the new guidance in the first quarter of 2020 using this transition method. We elected to apply a package of practical expedients, which allowed us to not reassess prior conclusions related to contracts containing leases, lease classification, and initial direct costs. Adoption of the new guidance resulted in the recognition of operating lease ROU assets of $259 and operating lease liabilities of $254, with the difference between the assets and liabilities primarily due to below market assets, deferred rent and prepaid rent. In addition, we derecognized $20 of an asset and liability associated with a build-to-suit lease arrangement. The adoption did not have a material impact on consolidated net earnings or cash flows. See Note 10 for additional information.</w:t>
      </w:r>
    </w:p>
    <w:p>
      <w:pPr>
        <w:spacing w:after="0" w:line="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We adopted the guidance in the first quarter of 2020. The adoption did not have a material impact on our consolidated financial statements.</w:t>
      </w:r>
    </w:p>
    <w:p>
      <w:pPr>
        <w:spacing w:after="0" w:line="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4 for additional information.</w:t>
      </w:r>
    </w:p>
    <w:p>
      <w:pPr>
        <w:spacing w:after="0" w:line="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We adopted the guidance in the first quarter of 2021. The adoption did not have a material impact on our consolidated financial statements.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adopted the guidance on a prospective basis in the first quarter of 2021. The adoption did not have a material impact on our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jc w:val="both"/>
        <w:ind w:firstLine="324"/>
        <w:spacing w:after="0" w:line="263"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ending after December 15, 2020. The guidance is to be applied on a retrospective basis. We adopted the guidance in 2021. The adoption did not have a material impact on our consolidated financial statements.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The adoption is not expected to have a material impact on our consolidated financial statements.</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48" w:lineRule="exact"/>
        <w:rPr>
          <w:sz w:val="20"/>
          <w:szCs w:val="20"/>
          <w:color w:val="auto"/>
        </w:rPr>
      </w:pPr>
    </w:p>
    <w:p>
      <w:pPr>
        <w:ind w:right="9420" w:firstLine="8"/>
        <w:spacing w:after="0" w:line="407" w:lineRule="auto"/>
        <w:tabs>
          <w:tab w:leader="none" w:pos="1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w:t>
      </w:r>
      <w:r>
        <w:rPr>
          <w:rFonts w:ascii="Arial" w:cs="Arial" w:eastAsia="Arial" w:hAnsi="Arial"/>
          <w:sz w:val="16"/>
          <w:szCs w:val="16"/>
          <w:i w:val="1"/>
          <w:iCs w:val="1"/>
          <w:color w:val="auto"/>
        </w:rPr>
        <w:t>Discontinued Operations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$55. On June 16, 2019, we sold our Bolthouse Farms business. Proceeds were $500.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completed the sale of our Kelsen business on September 23, 2019, for $322. We also completed the sale of our Arnott’s business and certain other international operations, including the simple meals and shelf-stable beverages businesses in Australia and Asia Pacific (the Arnott's and other international operations), on December 23, 2019, for $2,286. The purchase price was subject to certain post-closing adjustments, which resulted in $4 of additional proceeds in the third quarter of 2020.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Campbell International</w:t>
            </w:r>
          </w:p>
        </w:tc>
        <w:tc>
          <w:tcPr>
            <w:tcW w:w="14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Campbell</w:t>
            </w:r>
          </w:p>
        </w:tc>
        <w:tc>
          <w:tcPr>
            <w:tcW w:w="0" w:type="dxa"/>
            <w:vAlign w:val="bottom"/>
          </w:tcPr>
          <w:p>
            <w:pPr>
              <w:spacing w:after="0"/>
              <w:rPr>
                <w:sz w:val="1"/>
                <w:szCs w:val="1"/>
                <w:color w:val="auto"/>
              </w:rPr>
            </w:pPr>
          </w:p>
        </w:tc>
      </w:tr>
      <w:tr>
        <w:trPr>
          <w:trHeight w:val="188"/>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Fresh</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sales of businesses / costs associated with selling the businesses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 on sales / costs associated with selling the businesses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third quarter of 2021, we recognized a $6 Loss from discontinued operations due to tax expense from return-to-provision adjustments related to the sale of Campbell International.</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sale of the Arnott's and other international operations resulted in a substantial capital gain for tax purposes. We were able to utilize capital losses in 2020, which were offset with valuation allowances as of July 28, 2019, to offset the capital gain.</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2019, as part of our annual review of intangible assets, we recognized an impairment charge of $7 on a trademark and $10 on goodwill in Kelsen due to a lower long-term outlook for sales and the pending sale of the business.</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second quarter of 2019, we performed interim impairment assessments on the intangible and tangible assets of the Campbell Fresh businesses. We revised our future outlook for earnings and cash flows for each of these businesses as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jc w:val="both"/>
        <w:spacing w:after="0" w:line="255" w:lineRule="auto"/>
        <w:rPr>
          <w:sz w:val="20"/>
          <w:szCs w:val="20"/>
          <w:color w:val="auto"/>
        </w:rPr>
      </w:pPr>
      <w:r>
        <w:rPr>
          <w:rFonts w:ascii="Arial" w:cs="Arial" w:eastAsia="Arial" w:hAnsi="Arial"/>
          <w:sz w:val="18"/>
          <w:szCs w:val="18"/>
          <w:color w:val="auto"/>
        </w:rPr>
        <w:t>divestiture process progressed and we received initial indications of value. In Bolthouse Farms carrot and carrot ingredients, we recorded impairment charges of $18 on the trademark, $40 on customer relationships, $15 on technology and $104 on plant assets. In Bolthouse Farms refrigerated beverages and salad dressings, we recorded impairment charges of $74 on the trademark, $22 on customer relationships, and $9 on plant assets. In Garden Fresh Gourmet, we recorded impairment charges of $23 on the trademark, $39 on customer relationships, and $2 on plant assets. In the first quarter of 2019, we recorded an impairment charge of $14 on the U.S refrigerated soup plant assets in Campbell Fresh. In addition, we recorded tax expense of $29 in 2019 as deferred tax assets were not realizable.</w:t>
      </w:r>
    </w:p>
    <w:p>
      <w:pPr>
        <w:spacing w:after="0" w:line="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the terms of the sale of the Arnott's and other international operations, we entered into a long-term licensing arrangement for the exclusive rights to certain Campbell brands in certain non-U.S. markets. We provided certain transition services to support the divested businesses.</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depreciation and amortization, capital expenditures, sale proceeds and significant operating non-cash items of discontinued operations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discontinued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9"/>
        </w:trPr>
        <w:tc>
          <w:tcPr>
            <w:tcW w:w="84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Net (gain) loss on sales of discontinued operations businesses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Cash flows from discontinued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8460" w:type="dxa"/>
            <w:vAlign w:val="bottom"/>
          </w:tcPr>
          <w:p>
            <w:pPr>
              <w:ind w:left="140"/>
              <w:spacing w:after="0"/>
              <w:rPr>
                <w:sz w:val="20"/>
                <w:szCs w:val="20"/>
                <w:color w:val="auto"/>
              </w:rPr>
            </w:pPr>
            <w:r>
              <w:rPr>
                <w:rFonts w:ascii="Arial" w:cs="Arial" w:eastAsia="Arial" w:hAnsi="Arial"/>
                <w:sz w:val="18"/>
                <w:szCs w:val="18"/>
                <w:color w:val="auto"/>
              </w:rPr>
              <w:t>Sales of discontinued operations businesses, net of cash divested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6" w:lineRule="exact"/>
        <w:rPr>
          <w:sz w:val="20"/>
          <w:szCs w:val="20"/>
          <w:color w:val="auto"/>
        </w:rPr>
      </w:pPr>
    </w:p>
    <w:p>
      <w:pPr>
        <w:ind w:right="1780" w:firstLine="8"/>
        <w:spacing w:after="0" w:line="289" w:lineRule="auto"/>
        <w:tabs>
          <w:tab w:leader="none" w:pos="312"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 xml:space="preserve">Depreciation and amortization are no longer recognized once businesses are classified as held for sale/discontinued operations. </w:t>
      </w:r>
      <w:r>
        <w:rPr>
          <w:rFonts w:ascii="Arial" w:cs="Arial" w:eastAsia="Arial" w:hAnsi="Arial"/>
          <w:sz w:val="18"/>
          <w:szCs w:val="18"/>
          <w:i w:val="1"/>
          <w:iCs w:val="1"/>
          <w:color w:val="auto"/>
        </w:rPr>
        <w:t>Other Divestitures</w:t>
      </w:r>
    </w:p>
    <w:p>
      <w:pPr>
        <w:spacing w:after="0" w:line="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11, 2019, we completed the sale of our European chips business for £63, or $77. The pre-tax loss recognized in the first quarter of 2020 on the sale was $64, which included the impact of allocated goodwill and foreign currency translation adjustments. For tax purposes, we were able to use the capital loss on this sale to offset a portion of the capital gain from the sale of the Arnott's and other international operations. The after-tax loss was $37. The European chips business had net sales of $25 in 2020 and $129 in 2019. Earnings from the business, which included a pre-tax impairment charge on intangible assets of $16 recognized in the fourth quarter of 2019, were not material. The results of the European chips business through the date of sale were reflected in continuing operations within the Snacks reportable segment.</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May 3, 2021, we completed the sale of our Plum baby food and snacks business for $101, subject to certain post-closing adjustments. The purchase agreement contained customary representations, warranties, indemnifications and other obligations between us and the buyer. In addition, we have agreed to indemnify the buyer for certain claims against the Plum baby food and snacks business alleging the presence of heavy metals in the products manufactured or sold on or prior to May 2, 2021, that were pending at the time of closing of the transaction or are asserted within two years thereafter. We recognized a pre-tax loss of $11 and an after-tax gain on the sale of $3. The business had net sales of $68 in 2021, $104 in 2020, and $110 in 2019. Earnings were not material in the periods. The results of the business through the date of sale were reflected in continuing operations within the Meals &amp; Beverages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4. Accumulated Other Comprehensive Income (Loss)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 and</w:t>
            </w:r>
          </w:p>
        </w:tc>
        <w:tc>
          <w:tcPr>
            <w:tcW w:w="120" w:type="dxa"/>
            <w:vAlign w:val="bottom"/>
          </w:tcPr>
          <w:p>
            <w:pPr>
              <w:spacing w:after="0"/>
              <w:rPr>
                <w:sz w:val="14"/>
                <w:szCs w:val="14"/>
                <w:color w:val="auto"/>
              </w:rPr>
            </w:pPr>
          </w:p>
        </w:tc>
        <w:tc>
          <w:tcPr>
            <w:tcW w:w="132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Postretirement Benefit</w:t>
            </w:r>
          </w:p>
        </w:tc>
        <w:tc>
          <w:tcPr>
            <w:tcW w:w="120" w:type="dxa"/>
            <w:vAlign w:val="bottom"/>
          </w:tcPr>
          <w:p>
            <w:pPr>
              <w:spacing w:after="0"/>
              <w:rPr>
                <w:sz w:val="11"/>
                <w:szCs w:val="11"/>
                <w:color w:val="auto"/>
              </w:rPr>
            </w:pPr>
          </w:p>
        </w:tc>
        <w:tc>
          <w:tcPr>
            <w:tcW w:w="132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9"/>
                <w:szCs w:val="9"/>
                <w:b w:val="1"/>
                <w:bCs w:val="1"/>
                <w:color w:val="auto"/>
                <w:w w:val="93"/>
              </w:rPr>
              <w:t>(1)</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Cash-Flow Hedges</w:t>
            </w:r>
            <w:r>
              <w:rPr>
                <w:rFonts w:ascii="Arial" w:cs="Arial" w:eastAsia="Arial" w:hAnsi="Arial"/>
                <w:sz w:val="9"/>
                <w:szCs w:val="9"/>
                <w:b w:val="1"/>
                <w:bCs w:val="1"/>
                <w:color w:val="auto"/>
                <w:w w:val="90"/>
              </w:rPr>
              <w:t>(2)</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Plan Adjustments</w:t>
            </w:r>
            <w:r>
              <w:rPr>
                <w:rFonts w:ascii="Arial" w:cs="Arial" w:eastAsia="Arial" w:hAnsi="Arial"/>
                <w:sz w:val="9"/>
                <w:szCs w:val="9"/>
                <w:b w:val="1"/>
                <w:bCs w:val="1"/>
                <w:color w:val="auto"/>
                <w:w w:val="92"/>
              </w:rPr>
              <w:t>(3)</w:t>
            </w:r>
          </w:p>
        </w:tc>
        <w:tc>
          <w:tcPr>
            <w:tcW w:w="120" w:type="dxa"/>
            <w:vAlign w:val="bottom"/>
          </w:tcPr>
          <w:p>
            <w:pPr>
              <w:spacing w:after="0"/>
              <w:rPr>
                <w:sz w:val="16"/>
                <w:szCs w:val="16"/>
                <w:color w:val="auto"/>
              </w:rPr>
            </w:pPr>
          </w:p>
        </w:tc>
        <w:tc>
          <w:tcPr>
            <w:tcW w:w="132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29,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line="223" w:lineRule="exact"/>
              <w:rPr>
                <w:sz w:val="20"/>
                <w:szCs w:val="20"/>
                <w:color w:val="auto"/>
              </w:rPr>
            </w:pPr>
            <w:r>
              <w:rPr>
                <w:rFonts w:ascii="Arial" w:cs="Arial" w:eastAsia="Arial" w:hAnsi="Arial"/>
                <w:sz w:val="18"/>
                <w:szCs w:val="18"/>
                <w:color w:val="auto"/>
              </w:rPr>
              <w:t>Cumulative effect of a change in accounting principle</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5"/>
        </w:trPr>
        <w:tc>
          <w:tcPr>
            <w:tcW w:w="5160" w:type="dxa"/>
            <w:vAlign w:val="bottom"/>
          </w:tcPr>
          <w:p>
            <w:pPr>
              <w:ind w:left="22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July 28,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60" w:type="dxa"/>
            <w:vAlign w:val="bottom"/>
          </w:tcPr>
          <w:p>
            <w:pPr>
              <w:ind w:left="22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line="230" w:lineRule="exact"/>
              <w:rPr>
                <w:sz w:val="20"/>
                <w:szCs w:val="20"/>
                <w:color w:val="auto"/>
              </w:rPr>
            </w:pPr>
            <w:r>
              <w:rPr>
                <w:rFonts w:ascii="Arial" w:cs="Arial" w:eastAsia="Arial" w:hAnsi="Arial"/>
                <w:sz w:val="18"/>
                <w:szCs w:val="18"/>
                <w:color w:val="auto"/>
              </w:rPr>
              <w:t>income (loss)</w:t>
            </w:r>
            <w:r>
              <w:rPr>
                <w:rFonts w:ascii="Arial" w:cs="Arial" w:eastAsia="Arial" w:hAnsi="Arial"/>
                <w:sz w:val="23"/>
                <w:szCs w:val="23"/>
                <w:color w:val="auto"/>
                <w:vertAlign w:val="superscript"/>
              </w:rPr>
              <w:t>(5)</w:t>
            </w: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August 2,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76"/>
        </w:trPr>
        <w:tc>
          <w:tcPr>
            <w:tcW w:w="5160" w:type="dxa"/>
            <w:vAlign w:val="bottom"/>
          </w:tcPr>
          <w:p>
            <w:pPr>
              <w:ind w:left="220"/>
              <w:spacing w:after="0" w:line="176" w:lineRule="exact"/>
              <w:rPr>
                <w:sz w:val="20"/>
                <w:szCs w:val="20"/>
                <w:color w:val="auto"/>
              </w:rPr>
            </w:pPr>
            <w:r>
              <w:rPr>
                <w:rFonts w:ascii="Arial" w:cs="Arial" w:eastAsia="Arial" w:hAnsi="Arial"/>
                <w:sz w:val="18"/>
                <w:szCs w:val="18"/>
                <w:b w:val="1"/>
                <w:bCs w:val="1"/>
                <w:color w:val="auto"/>
                <w:w w:val="92"/>
              </w:rPr>
              <w:t>Amounts reclassified from accumulated other comprehensive</w:t>
            </w: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August 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20" w:hanging="312"/>
        <w:spacing w:after="0" w:line="197" w:lineRule="auto"/>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Included no tax as of August 1, 2021, and August 2, 2020, and tax expense of $4 as of July 28, 2019, and $6 as of July 29, 2018.</w:t>
      </w:r>
    </w:p>
    <w:p>
      <w:pPr>
        <w:ind w:left="320" w:hanging="312"/>
        <w:spacing w:after="0" w:line="183" w:lineRule="auto"/>
        <w:tabs>
          <w:tab w:leader="none" w:pos="32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Included a tax benefit of $1 as of August 1, 2021, and as of August 2, 2020, $2 as of July 28, 2019, and $4 as of July 29, 2018.</w:t>
      </w:r>
    </w:p>
    <w:p>
      <w:pPr>
        <w:ind w:left="320" w:hanging="312"/>
        <w:spacing w:after="0" w:line="183" w:lineRule="auto"/>
        <w:tabs>
          <w:tab w:leader="none" w:pos="32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Included a tax expense of $1 as of August 1, 2021, $2 as of August 2, 2020, $8 as of July 28, 2019, and $25 as of July 29, 2018.</w:t>
      </w:r>
    </w:p>
    <w:p>
      <w:pPr>
        <w:ind w:left="320" w:hanging="312"/>
        <w:spacing w:after="0" w:line="183" w:lineRule="auto"/>
        <w:tabs>
          <w:tab w:leader="none" w:pos="32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Reflects the adoption of the FASB guidance on stranded tax effects. See Note 2 for additional information.</w:t>
      </w:r>
    </w:p>
    <w:p>
      <w:pPr>
        <w:ind w:left="340" w:right="4380" w:hanging="332"/>
        <w:spacing w:after="0" w:line="270" w:lineRule="auto"/>
        <w:tabs>
          <w:tab w:leader="none" w:pos="32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Reflects the reclassification from sale of businesses. See Note 3 for additional information. Amounts related to noncontrolling interests were not material.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Details about Accumulated Other Comprehensive Income (Loss) Components</w:t>
            </w:r>
          </w:p>
        </w:tc>
        <w:tc>
          <w:tcPr>
            <w:tcW w:w="260" w:type="dxa"/>
            <w:vAlign w:val="bottom"/>
          </w:tcPr>
          <w:p>
            <w:pPr>
              <w:spacing w:after="0"/>
              <w:rPr>
                <w:sz w:val="14"/>
                <w:szCs w:val="14"/>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60" w:type="dxa"/>
            <w:vAlign w:val="bottom"/>
          </w:tcPr>
          <w:p>
            <w:pPr>
              <w:ind w:left="160"/>
              <w:spacing w:after="0"/>
              <w:rPr>
                <w:sz w:val="20"/>
                <w:szCs w:val="20"/>
                <w:color w:val="auto"/>
              </w:rPr>
            </w:pPr>
            <w:r>
              <w:rPr>
                <w:rFonts w:ascii="Arial" w:cs="Arial" w:eastAsia="Arial" w:hAnsi="Arial"/>
                <w:sz w:val="14"/>
                <w:szCs w:val="14"/>
                <w:b w:val="1"/>
                <w:bCs w:val="1"/>
                <w:color w:val="auto"/>
                <w:w w:val="97"/>
              </w:rPr>
              <w:t>Location of Loss (Gain) Recognized in</w:t>
            </w:r>
          </w:p>
        </w:tc>
        <w:tc>
          <w:tcPr>
            <w:tcW w:w="0" w:type="dxa"/>
            <w:vAlign w:val="bottom"/>
          </w:tcPr>
          <w:p>
            <w:pPr>
              <w:spacing w:after="0"/>
              <w:rPr>
                <w:sz w:val="1"/>
                <w:szCs w:val="1"/>
                <w:color w:val="auto"/>
              </w:rPr>
            </w:pPr>
          </w:p>
        </w:tc>
      </w:tr>
      <w:tr>
        <w:trPr>
          <w:trHeight w:val="188"/>
        </w:trPr>
        <w:tc>
          <w:tcPr>
            <w:tcW w:w="4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ind w:left="10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4"/>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Currency translation losses (gains) realized upon disposal of</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60" w:type="dxa"/>
            <w:vAlign w:val="bottom"/>
            <w:vMerge w:val="restart"/>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businesses</w:t>
            </w:r>
          </w:p>
        </w:tc>
        <w:tc>
          <w:tcPr>
            <w:tcW w:w="26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Currency translation losses (gains) realized upon disposal of</w:t>
            </w:r>
          </w:p>
        </w:tc>
        <w:tc>
          <w:tcPr>
            <w:tcW w:w="2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Earnings (loss) from discontinued</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businesses</w:t>
            </w:r>
          </w:p>
        </w:tc>
        <w:tc>
          <w:tcPr>
            <w:tcW w:w="2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494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jc w:val="right"/>
              <w:ind w:right="120"/>
              <w:spacing w:after="0"/>
              <w:rPr>
                <w:sz w:val="20"/>
                <w:szCs w:val="20"/>
                <w:color w:val="auto"/>
              </w:rPr>
            </w:pPr>
            <w:r>
              <w:rPr>
                <w:rFonts w:ascii="Arial" w:cs="Arial" w:eastAsia="Arial" w:hAnsi="Arial"/>
                <w:sz w:val="18"/>
                <w:szCs w:val="18"/>
                <w:color w:val="auto"/>
              </w:rPr>
              <w:t>Loss (gain), net of tax</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Losses (gains) on cash-flow hedges: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Foreign exchange forward contracts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176"/>
        </w:trPr>
        <w:tc>
          <w:tcPr>
            <w:tcW w:w="49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exchange forward contracts</w:t>
            </w:r>
          </w:p>
        </w:tc>
        <w:tc>
          <w:tcPr>
            <w:tcW w:w="2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Earnings (loss) from discontinued</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Forward starting interest rate swaps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 before tax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Loss (gain), net of tax</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Prior service credit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jc w:val="right"/>
              <w:ind w:right="120"/>
              <w:spacing w:after="0"/>
              <w:rPr>
                <w:sz w:val="20"/>
                <w:szCs w:val="20"/>
                <w:color w:val="auto"/>
              </w:rPr>
            </w:pPr>
            <w:r>
              <w:rPr>
                <w:rFonts w:ascii="Arial" w:cs="Arial" w:eastAsia="Arial" w:hAnsi="Arial"/>
                <w:sz w:val="18"/>
                <w:szCs w:val="18"/>
                <w:color w:val="auto"/>
              </w:rPr>
              <w:t>Loss (gain), net of tax</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49" w:name="page50"/>
    <w:bookmarkEnd w:id="49"/>
    <w:p>
      <w:pPr>
        <w:ind w:right="8660" w:firstLine="8"/>
        <w:spacing w:after="0" w:line="354" w:lineRule="auto"/>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 of goodwill by business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Meals &amp; Beverages</w:t>
            </w: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July 28, 2019</w:t>
            </w: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Divestiture</w:t>
            </w:r>
            <w:r>
              <w:rPr>
                <w:rFonts w:ascii="Arial" w:cs="Arial" w:eastAsia="Arial" w:hAnsi="Arial"/>
                <w:sz w:val="23"/>
                <w:szCs w:val="23"/>
                <w:color w:val="auto"/>
                <w:vertAlign w:val="superscript"/>
              </w:rPr>
              <w:t>(1)</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Net balance at August 2, 2020</w:t>
            </w: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Divestiture</w:t>
            </w:r>
            <w:r>
              <w:rPr>
                <w:rFonts w:ascii="Arial" w:cs="Arial" w:eastAsia="Arial" w:hAnsi="Arial"/>
                <w:sz w:val="23"/>
                <w:szCs w:val="23"/>
                <w:b w:val="1"/>
                <w:bCs w:val="1"/>
                <w:color w:val="auto"/>
                <w:vertAlign w:val="superscript"/>
              </w:rPr>
              <w:t>(1)</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balance at August 1, 2021</w:t>
            </w: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3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88"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Intangible Assets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3"/>
                <w:szCs w:val="23"/>
                <w:color w:val="auto"/>
                <w:vertAlign w:val="superscript"/>
              </w:rPr>
              <w:t>(1)</w:t>
            </w:r>
          </w:p>
        </w:tc>
        <w:tc>
          <w:tcPr>
            <w:tcW w:w="740" w:type="dxa"/>
            <w:vAlign w:val="bottom"/>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9"/>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Trademarks</w:t>
            </w:r>
            <w:r>
              <w:rPr>
                <w:rFonts w:ascii="Arial" w:cs="Arial" w:eastAsia="Arial" w:hAnsi="Arial"/>
                <w:sz w:val="23"/>
                <w:szCs w:val="23"/>
                <w:color w:val="auto"/>
                <w:vertAlign w:val="superscript"/>
              </w:rPr>
              <w:t>(1)</w:t>
            </w:r>
          </w:p>
        </w:tc>
        <w:tc>
          <w:tcPr>
            <w:tcW w:w="7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w:t>
      </w:r>
    </w:p>
    <w:p>
      <w:pPr>
        <w:spacing w:after="0" w:line="50" w:lineRule="exact"/>
        <w:rPr>
          <w:sz w:val="20"/>
          <w:szCs w:val="20"/>
          <w:color w:val="auto"/>
        </w:rPr>
      </w:pPr>
    </w:p>
    <w:p>
      <w:pPr>
        <w:ind w:left="340" w:right="20" w:hanging="332"/>
        <w:spacing w:after="0" w:line="206" w:lineRule="auto"/>
        <w:tabs>
          <w:tab w:leader="none" w:pos="32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Net Customer relationships of $8 and Trademarks of $62 were divested with the sale of the Plum baby and snack foods business. See Note 3 for additional information.</w:t>
      </w:r>
    </w:p>
    <w:p>
      <w:pPr>
        <w:spacing w:after="0" w:line="54"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color w:val="auto"/>
        </w:rPr>
        <w:t>As of August 1, 2021, the carrying value of indefinite-lived trademarks is detailed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Various Other</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Snyder's of</w:t>
            </w: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i w:val="1"/>
                <w:iCs w:val="1"/>
                <w:color w:val="auto"/>
              </w:rPr>
              <w:t>Lance</w:t>
            </w:r>
          </w:p>
        </w:tc>
        <w:tc>
          <w:tcPr>
            <w:tcW w:w="28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i w:val="1"/>
                <w:iCs w:val="1"/>
                <w:color w:val="auto"/>
              </w:rPr>
              <w:t>Pace</w:t>
            </w:r>
          </w:p>
        </w:tc>
        <w:tc>
          <w:tcPr>
            <w:tcW w:w="14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4"/>
                <w:szCs w:val="14"/>
                <w:b w:val="1"/>
                <w:bCs w:val="1"/>
                <w:i w:val="1"/>
                <w:iCs w:val="1"/>
                <w:color w:val="auto"/>
                <w:w w:val="92"/>
              </w:rPr>
              <w:t>Pacific Foods</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2"/>
              </w:rPr>
              <w:t>Hanover</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93"/>
              </w:rPr>
              <w:t>Carrying value</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4880" w:type="dxa"/>
            <w:vAlign w:val="bottom"/>
          </w:tcPr>
          <w:p>
            <w:pPr>
              <w:jc w:val="right"/>
              <w:ind w:right="1130"/>
              <w:spacing w:after="0"/>
              <w:rPr>
                <w:sz w:val="20"/>
                <w:szCs w:val="20"/>
                <w:color w:val="auto"/>
              </w:rPr>
            </w:pPr>
            <w:r>
              <w:rPr>
                <w:rFonts w:ascii="Arial" w:cs="Arial" w:eastAsia="Arial" w:hAnsi="Arial"/>
                <w:sz w:val="18"/>
                <w:szCs w:val="18"/>
                <w:color w:val="auto"/>
                <w:w w:val="98"/>
              </w:rPr>
              <w:t>_____________________________________</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0" w:hanging="170"/>
        <w:spacing w:after="0"/>
        <w:tabs>
          <w:tab w:leader="none" w:pos="340" w:val="left"/>
        </w:tabs>
        <w:numPr>
          <w:ilvl w:val="0"/>
          <w:numId w:val="39"/>
        </w:numPr>
        <w:rPr>
          <w:rFonts w:ascii="Arial" w:cs="Arial" w:eastAsia="Arial" w:hAnsi="Arial"/>
          <w:sz w:val="20"/>
          <w:szCs w:val="20"/>
          <w:color w:val="auto"/>
          <w:vertAlign w:val="superscript"/>
        </w:rPr>
      </w:pPr>
      <w:r>
        <w:rPr>
          <w:rFonts w:ascii="Arial" w:cs="Arial" w:eastAsia="Arial" w:hAnsi="Arial"/>
          <w:sz w:val="16"/>
          <w:szCs w:val="16"/>
          <w:color w:val="auto"/>
        </w:rPr>
        <w:t>Associated with the acquisition of Snyder's-Lance, Inc. (Snyder's-Lance).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 assets in Earnings from continuing operations was $42 for 2021, $43 for 2020 and $48 for 2019. As of August 1, 2021, amortizable intangible assets had a weighted-average remaining useful life of 17 years. Amortization expense for the next 5 years is estimated to be approximately $41 per year.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intangible assets in discontinued operations was $9 for 2019.</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46" w:lineRule="exact"/>
        <w:rPr>
          <w:sz w:val="20"/>
          <w:szCs w:val="20"/>
          <w:color w:val="auto"/>
        </w:rPr>
      </w:pPr>
    </w:p>
    <w:p>
      <w:pPr>
        <w:ind w:left="340" w:right="7420" w:hanging="332"/>
        <w:spacing w:after="0" w:line="398" w:lineRule="auto"/>
        <w:tabs>
          <w:tab w:leader="none" w:pos="196"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and Geographic Segment Information </w:t>
      </w:r>
      <w:r>
        <w:rPr>
          <w:rFonts w:ascii="Arial" w:cs="Arial" w:eastAsia="Arial" w:hAnsi="Arial"/>
          <w:sz w:val="16"/>
          <w:szCs w:val="16"/>
          <w:color w:val="auto"/>
        </w:rPr>
        <w:t>Our reportable segments are as follows:</w:t>
      </w:r>
    </w:p>
    <w:p>
      <w:pPr>
        <w:spacing w:after="0" w:line="1" w:lineRule="exact"/>
        <w:rPr>
          <w:rFonts w:ascii="Arial" w:cs="Arial" w:eastAsia="Arial" w:hAnsi="Arial"/>
          <w:sz w:val="16"/>
          <w:szCs w:val="16"/>
          <w:b w:val="1"/>
          <w:bCs w:val="1"/>
          <w:color w:val="auto"/>
        </w:rPr>
      </w:pPr>
    </w:p>
    <w:p>
      <w:pPr>
        <w:jc w:val="both"/>
        <w:ind w:left="660" w:hanging="328"/>
        <w:spacing w:after="0" w:line="301" w:lineRule="auto"/>
        <w:tabs>
          <w:tab w:leader="none" w:pos="655"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Meals &amp; Beverages, which includes the retail and foodservice businesses in the U.S. and Canada. The segment includes the following products: </w:t>
      </w:r>
      <w:r>
        <w:rPr>
          <w:rFonts w:ascii="Arial" w:cs="Arial" w:eastAsia="Arial" w:hAnsi="Arial"/>
          <w:sz w:val="16"/>
          <w:szCs w:val="16"/>
          <w:i w:val="1"/>
          <w:iCs w:val="1"/>
          <w:color w:val="auto"/>
        </w:rPr>
        <w:t xml:space="preserve">Campbell’s </w:t>
      </w:r>
      <w:r>
        <w:rPr>
          <w:rFonts w:ascii="Arial" w:cs="Arial" w:eastAsia="Arial" w:hAnsi="Arial"/>
          <w:sz w:val="16"/>
          <w:szCs w:val="16"/>
          <w:color w:val="auto"/>
        </w:rPr>
        <w:t>condensed and ready-to-serve soups;</w:t>
      </w:r>
      <w:r>
        <w:rPr>
          <w:rFonts w:ascii="Arial" w:cs="Arial" w:eastAsia="Arial" w:hAnsi="Arial"/>
          <w:sz w:val="16"/>
          <w:szCs w:val="16"/>
          <w:i w:val="1"/>
          <w:iCs w:val="1"/>
          <w:color w:val="auto"/>
        </w:rPr>
        <w:t xml:space="preserve"> Swanson </w:t>
      </w:r>
      <w:r>
        <w:rPr>
          <w:rFonts w:ascii="Arial" w:cs="Arial" w:eastAsia="Arial" w:hAnsi="Arial"/>
          <w:sz w:val="16"/>
          <w:szCs w:val="16"/>
          <w:color w:val="auto"/>
        </w:rPr>
        <w:t>broth and stocks;</w:t>
      </w:r>
      <w:r>
        <w:rPr>
          <w:rFonts w:ascii="Arial" w:cs="Arial" w:eastAsia="Arial" w:hAnsi="Arial"/>
          <w:sz w:val="16"/>
          <w:szCs w:val="16"/>
          <w:i w:val="1"/>
          <w:iCs w:val="1"/>
          <w:color w:val="auto"/>
        </w:rPr>
        <w:t xml:space="preserve"> Pacific Foods </w:t>
      </w:r>
      <w:r>
        <w:rPr>
          <w:rFonts w:ascii="Arial" w:cs="Arial" w:eastAsia="Arial" w:hAnsi="Arial"/>
          <w:sz w:val="16"/>
          <w:szCs w:val="16"/>
          <w:color w:val="auto"/>
        </w:rPr>
        <w:t>broth, soups and non-dairy beverages;</w:t>
      </w:r>
      <w:r>
        <w:rPr>
          <w:rFonts w:ascii="Arial" w:cs="Arial" w:eastAsia="Arial" w:hAnsi="Arial"/>
          <w:sz w:val="16"/>
          <w:szCs w:val="16"/>
          <w:i w:val="1"/>
          <w:iCs w:val="1"/>
          <w:color w:val="auto"/>
        </w:rPr>
        <w:t xml:space="preserve"> Prego </w:t>
      </w:r>
      <w:r>
        <w:rPr>
          <w:rFonts w:ascii="Arial" w:cs="Arial" w:eastAsia="Arial" w:hAnsi="Arial"/>
          <w:sz w:val="16"/>
          <w:szCs w:val="16"/>
          <w:color w:val="auto"/>
        </w:rPr>
        <w:t>pasta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sauces; </w:t>
      </w:r>
      <w:r>
        <w:rPr>
          <w:rFonts w:ascii="Arial" w:cs="Arial" w:eastAsia="Arial" w:hAnsi="Arial"/>
          <w:sz w:val="16"/>
          <w:szCs w:val="16"/>
          <w:i w:val="1"/>
          <w:iCs w:val="1"/>
          <w:color w:val="auto"/>
        </w:rPr>
        <w:t>Pace</w:t>
      </w:r>
      <w:r>
        <w:rPr>
          <w:rFonts w:ascii="Arial" w:cs="Arial" w:eastAsia="Arial" w:hAnsi="Arial"/>
          <w:sz w:val="16"/>
          <w:szCs w:val="16"/>
          <w:color w:val="auto"/>
        </w:rPr>
        <w:t xml:space="preserve"> Mexican sauces;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gravies, pasta, beans and dinner sauces; </w:t>
      </w:r>
      <w:r>
        <w:rPr>
          <w:rFonts w:ascii="Arial" w:cs="Arial" w:eastAsia="Arial" w:hAnsi="Arial"/>
          <w:sz w:val="16"/>
          <w:szCs w:val="16"/>
          <w:i w:val="1"/>
          <w:iCs w:val="1"/>
          <w:color w:val="auto"/>
        </w:rPr>
        <w:t>Swanson</w:t>
      </w:r>
      <w:r>
        <w:rPr>
          <w:rFonts w:ascii="Arial" w:cs="Arial" w:eastAsia="Arial" w:hAnsi="Arial"/>
          <w:sz w:val="16"/>
          <w:szCs w:val="16"/>
          <w:color w:val="auto"/>
        </w:rPr>
        <w:t xml:space="preserve"> canned poultry; </w:t>
      </w:r>
      <w:r>
        <w:rPr>
          <w:rFonts w:ascii="Arial" w:cs="Arial" w:eastAsia="Arial" w:hAnsi="Arial"/>
          <w:sz w:val="16"/>
          <w:szCs w:val="16"/>
          <w:i w:val="1"/>
          <w:iCs w:val="1"/>
          <w:color w:val="auto"/>
        </w:rPr>
        <w:t>V8</w:t>
      </w:r>
      <w:r>
        <w:rPr>
          <w:rFonts w:ascii="Arial" w:cs="Arial" w:eastAsia="Arial" w:hAnsi="Arial"/>
          <w:sz w:val="16"/>
          <w:szCs w:val="16"/>
          <w:color w:val="auto"/>
        </w:rPr>
        <w:t xml:space="preserve"> juices and beverages; and </w:t>
      </w:r>
      <w:r>
        <w:rPr>
          <w:rFonts w:ascii="Arial" w:cs="Arial" w:eastAsia="Arial" w:hAnsi="Arial"/>
          <w:sz w:val="16"/>
          <w:szCs w:val="16"/>
          <w:i w:val="1"/>
          <w:iCs w:val="1"/>
          <w:color w:val="auto"/>
        </w:rPr>
        <w:t xml:space="preserve">Campbell’s </w:t>
      </w:r>
      <w:r>
        <w:rPr>
          <w:rFonts w:ascii="Arial" w:cs="Arial" w:eastAsia="Arial" w:hAnsi="Arial"/>
          <w:sz w:val="16"/>
          <w:szCs w:val="16"/>
          <w:color w:val="auto"/>
        </w:rPr>
        <w:t>tomato juice. The segment also included the results of our Plum baby food and snacks business, which was sold on May 3, 2021;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both"/>
        <w:ind w:left="660" w:hanging="328"/>
        <w:spacing w:after="0" w:line="296"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 U.S. retail, including </w:t>
      </w:r>
      <w:r>
        <w:rPr>
          <w:rFonts w:ascii="Arial" w:cs="Arial" w:eastAsia="Arial" w:hAnsi="Arial"/>
          <w:sz w:val="16"/>
          <w:szCs w:val="16"/>
          <w:i w:val="1"/>
          <w:iCs w:val="1"/>
          <w:color w:val="auto"/>
        </w:rPr>
        <w:t>Pepperidge Farm</w:t>
      </w:r>
      <w:r>
        <w:rPr>
          <w:rFonts w:ascii="Arial" w:cs="Arial" w:eastAsia="Arial" w:hAnsi="Arial"/>
          <w:sz w:val="16"/>
          <w:szCs w:val="16"/>
          <w:color w:val="auto"/>
        </w:rPr>
        <w:t xml:space="preserve"> Farmhouse* cookies and bakery products,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cookies and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w:t>
      </w:r>
      <w:r>
        <w:rPr>
          <w:rFonts w:ascii="Arial" w:cs="Arial" w:eastAsia="Arial" w:hAnsi="Arial"/>
          <w:sz w:val="16"/>
          <w:szCs w:val="16"/>
          <w:i w:val="1"/>
          <w:iCs w:val="1"/>
          <w:color w:val="auto"/>
        </w:rPr>
        <w:t>Snyder’s of Hanover</w:t>
      </w:r>
      <w:r>
        <w:rPr>
          <w:rFonts w:ascii="Arial" w:cs="Arial" w:eastAsia="Arial" w:hAnsi="Arial"/>
          <w:sz w:val="16"/>
          <w:szCs w:val="16"/>
          <w:color w:val="auto"/>
        </w:rPr>
        <w:t xml:space="preserve">* pretzels, </w:t>
      </w:r>
      <w:r>
        <w:rPr>
          <w:rFonts w:ascii="Arial" w:cs="Arial" w:eastAsia="Arial" w:hAnsi="Arial"/>
          <w:sz w:val="16"/>
          <w:szCs w:val="16"/>
          <w:i w:val="1"/>
          <w:iCs w:val="1"/>
          <w:color w:val="auto"/>
        </w:rPr>
        <w:t>Lance</w:t>
      </w:r>
      <w:r>
        <w:rPr>
          <w:rFonts w:ascii="Arial" w:cs="Arial" w:eastAsia="Arial" w:hAnsi="Arial"/>
          <w:sz w:val="16"/>
          <w:szCs w:val="16"/>
          <w:color w:val="auto"/>
        </w:rPr>
        <w:t xml:space="preserve">* sandwich crackers,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and </w:t>
      </w:r>
      <w:r>
        <w:rPr>
          <w:rFonts w:ascii="Arial" w:cs="Arial" w:eastAsia="Arial" w:hAnsi="Arial"/>
          <w:sz w:val="16"/>
          <w:szCs w:val="16"/>
          <w:i w:val="1"/>
          <w:iCs w:val="1"/>
          <w:color w:val="auto"/>
        </w:rPr>
        <w:t>Kettle Brand</w:t>
      </w:r>
      <w:r>
        <w:rPr>
          <w:rFonts w:ascii="Arial" w:cs="Arial" w:eastAsia="Arial" w:hAnsi="Arial"/>
          <w:sz w:val="16"/>
          <w:szCs w:val="16"/>
          <w:color w:val="auto"/>
        </w:rPr>
        <w:t xml:space="preserve">* potato chips, </w:t>
      </w:r>
      <w:r>
        <w:rPr>
          <w:rFonts w:ascii="Arial" w:cs="Arial" w:eastAsia="Arial" w:hAnsi="Arial"/>
          <w:sz w:val="16"/>
          <w:szCs w:val="16"/>
          <w:i w:val="1"/>
          <w:iCs w:val="1"/>
          <w:color w:val="auto"/>
        </w:rPr>
        <w:t>Late July</w:t>
      </w:r>
      <w:r>
        <w:rPr>
          <w:rFonts w:ascii="Arial" w:cs="Arial" w:eastAsia="Arial" w:hAnsi="Arial"/>
          <w:sz w:val="16"/>
          <w:szCs w:val="16"/>
          <w:color w:val="auto"/>
        </w:rPr>
        <w:t xml:space="preserve">* snacks, </w:t>
      </w:r>
      <w:r>
        <w:rPr>
          <w:rFonts w:ascii="Arial" w:cs="Arial" w:eastAsia="Arial" w:hAnsi="Arial"/>
          <w:sz w:val="16"/>
          <w:szCs w:val="16"/>
          <w:i w:val="1"/>
          <w:iCs w:val="1"/>
          <w:color w:val="auto"/>
        </w:rPr>
        <w:t>Snack Factory</w:t>
      </w:r>
      <w:r>
        <w:rPr>
          <w:rFonts w:ascii="Arial" w:cs="Arial" w:eastAsia="Arial" w:hAnsi="Arial"/>
          <w:sz w:val="16"/>
          <w:szCs w:val="16"/>
          <w:color w:val="auto"/>
        </w:rPr>
        <w:t xml:space="preserve"> pretzel crisps,* </w:t>
      </w:r>
      <w:r>
        <w:rPr>
          <w:rFonts w:ascii="Arial" w:cs="Arial" w:eastAsia="Arial" w:hAnsi="Arial"/>
          <w:sz w:val="16"/>
          <w:szCs w:val="16"/>
          <w:i w:val="1"/>
          <w:iCs w:val="1"/>
          <w:color w:val="auto"/>
        </w:rPr>
        <w:t>Pop Secret</w:t>
      </w:r>
      <w:r>
        <w:rPr>
          <w:rFonts w:ascii="Arial" w:cs="Arial" w:eastAsia="Arial" w:hAnsi="Arial"/>
          <w:sz w:val="16"/>
          <w:szCs w:val="16"/>
          <w:color w:val="auto"/>
        </w:rPr>
        <w:t xml:space="preserve"> popcorn, </w:t>
      </w:r>
      <w:r>
        <w:rPr>
          <w:rFonts w:ascii="Arial" w:cs="Arial" w:eastAsia="Arial" w:hAnsi="Arial"/>
          <w:sz w:val="16"/>
          <w:szCs w:val="16"/>
          <w:i w:val="1"/>
          <w:iCs w:val="1"/>
          <w:color w:val="auto"/>
        </w:rPr>
        <w:t>Emerald</w:t>
      </w:r>
      <w:r>
        <w:rPr>
          <w:rFonts w:ascii="Arial" w:cs="Arial" w:eastAsia="Arial" w:hAnsi="Arial"/>
          <w:sz w:val="16"/>
          <w:szCs w:val="16"/>
          <w:color w:val="auto"/>
        </w:rPr>
        <w:t xml:space="preserve"> nuts, and other snacking products in retail and foodservice in the U.S. and Canada. The segment includes the retail business in Latin America. The segment also included the results of our European chips business, which was sold on October 11, 2019. We refer to the * trademarks as our "power brands."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2022, the foodservice and Canadian portion of Snacks will be managed as part of Meals &amp; Beverages.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Therefore, only geographic segment asset information is provided.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largest customer, Wal-Mart Stores, Inc. and its affiliates, accounted for approximately 21% of consolidated net sales from continuing operations in 2021 and 2020, and 20% in 2019. Both of our reportable segments sold products to Wal-Mart Stores, Inc. or its affiliates.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69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15"/>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Meals &amp; Beverages</w:t>
            </w:r>
          </w:p>
        </w:tc>
        <w:tc>
          <w:tcPr>
            <w:tcW w:w="8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4"/>
              </w:rPr>
              <w:t>4,532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4,252</w:t>
            </w:r>
          </w:p>
        </w:tc>
        <w:tc>
          <w:tcPr>
            <w:tcW w:w="4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Snacks</w:t>
            </w: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3,944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48"/>
        </w:trPr>
        <w:tc>
          <w:tcPr>
            <w:tcW w:w="7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8,476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4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8"/>
        </w:trPr>
        <w:tc>
          <w:tcPr>
            <w:tcW w:w="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r>
      <w:tr>
        <w:trPr>
          <w:trHeight w:val="215"/>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Meals &amp; Beverages</w:t>
            </w:r>
          </w:p>
        </w:tc>
        <w:tc>
          <w:tcPr>
            <w:tcW w:w="8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895</w:t>
            </w:r>
          </w:p>
        </w:tc>
        <w:tc>
          <w:tcPr>
            <w:tcW w:w="4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Snacks</w:t>
            </w: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tcBorders>
              <w:left w:val="single" w:sz="8" w:color="CCEEFF"/>
            </w:tcBorders>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80" w:type="dxa"/>
            <w:vAlign w:val="bottom"/>
          </w:tcPr>
          <w:p>
            <w:pPr>
              <w:ind w:left="100"/>
              <w:spacing w:after="0" w:line="230" w:lineRule="exact"/>
              <w:rPr>
                <w:sz w:val="20"/>
                <w:szCs w:val="20"/>
                <w:color w:val="auto"/>
              </w:rPr>
            </w:pPr>
            <w:r>
              <w:rPr>
                <w:rFonts w:ascii="Arial" w:cs="Arial" w:eastAsia="Arial" w:hAnsi="Arial"/>
                <w:sz w:val="18"/>
                <w:szCs w:val="18"/>
                <w:color w:val="auto"/>
              </w:rPr>
              <w:t>Corporate income (expense)</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698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1,545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4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8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 w:type="dxa"/>
            <w:vAlign w:val="bottom"/>
            <w:tcBorders>
              <w:left w:val="single" w:sz="8" w:color="CCEEFF"/>
            </w:tcBorders>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80" w:type="dxa"/>
            <w:vAlign w:val="bottom"/>
          </w:tcPr>
          <w:p>
            <w:pPr>
              <w:ind w:left="12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(3)</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left w:val="single" w:sz="8" w:color="CCEEFF"/>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tcPr>
          <w:p>
            <w:pPr>
              <w:ind w:left="12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(3)</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3450"/>
              <w:spacing w:after="0"/>
              <w:rPr>
                <w:sz w:val="20"/>
                <w:szCs w:val="20"/>
                <w:color w:val="auto"/>
              </w:rPr>
            </w:pPr>
            <w:r>
              <w:rPr>
                <w:rFonts w:ascii="Arial" w:cs="Arial" w:eastAsia="Arial" w:hAnsi="Arial"/>
                <w:sz w:val="18"/>
                <w:szCs w:val="18"/>
                <w:color w:val="auto"/>
                <w:w w:val="89"/>
              </w:rPr>
              <w:t>_______________________________________</w:t>
            </w: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55" w:lineRule="auto"/>
        <w:tabs>
          <w:tab w:leader="none" w:pos="328"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Represents unallocated items. Pension and postretirement benefit settlement and mark-to-market adjustments are included in Corporate. There were settlement gains of $38 and gains of $165 in 2021, settlement charges of $43 and losses of $121 in 2020, and losses of $122 in 2019, respectively. A loss of $11 on the sale of the Plum baby food and snacks business was included in 2021. A loss of $45 on Acre Venture Partners, L.P. (Acre) was included in 2020. See Note 14 for additional information on Acre. A loss of $64 on the sale of our European chips business was included in 2020. Costs related to the cost savings initiatives were $32, $60 and $90 in 2021, 2020 and 2019, respectively. Intangible asset impairment charges were $16 in 2019. A mark-to-market gain on outstanding commodity hedges of $50 was included in 2021.</w:t>
      </w:r>
    </w:p>
    <w:p>
      <w:pPr>
        <w:spacing w:after="0" w:line="3" w:lineRule="exact"/>
        <w:rPr>
          <w:rFonts w:ascii="Arial" w:cs="Arial" w:eastAsia="Arial" w:hAnsi="Arial"/>
          <w:sz w:val="22"/>
          <w:szCs w:val="22"/>
          <w:color w:val="auto"/>
          <w:vertAlign w:val="superscript"/>
        </w:rPr>
      </w:pPr>
    </w:p>
    <w:p>
      <w:pPr>
        <w:ind w:left="320" w:hanging="312"/>
        <w:spacing w:after="0" w:line="196" w:lineRule="auto"/>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See Note 7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Represents primarily corporate offices and enterprise-wide information technology systems.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Depreciation and amortization are no longer recognized once businesses are classified as held for sale/discontinued operations.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15"/>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Soup</w:t>
            </w:r>
          </w:p>
        </w:tc>
        <w:tc>
          <w:tcPr>
            <w:tcW w:w="820" w:type="dxa"/>
            <w:vAlign w:val="bottom"/>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8"/>
              </w:rPr>
              <w:t>2,568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30"/>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Other simple meals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8"/>
              </w:rPr>
              <w:t>1,134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30"/>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8,476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 xml:space="preserve">Soup includes various soup, broths and stock products. Snacks include cookies, pretzels, crackers, popcorn, nuts, potato chips, tortilla chips and other salty snacks and baked products. Other simple meals include sauces and Plum products. Beverages include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non-dairy beverages.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Area Information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continuing operations in different geographic areas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69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5"/>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8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4"/>
              </w:rPr>
              <w:t>7,951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8,165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7,492</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countries</w:t>
            </w: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9"/>
                <w:szCs w:val="19"/>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8,476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8,691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8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2,363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2,361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countries</w:t>
            </w: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2,368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 and Cost Savings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August 1, 2021</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94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740" w:type="dxa"/>
            <w:vAlign w:val="bottom"/>
            <w:gridSpan w:val="8"/>
          </w:tcPr>
          <w:p>
            <w:pPr>
              <w:ind w:left="340"/>
              <w:spacing w:after="0"/>
              <w:rPr>
                <w:sz w:val="20"/>
                <w:szCs w:val="20"/>
                <w:color w:val="auto"/>
              </w:rPr>
            </w:pPr>
            <w:r>
              <w:rPr>
                <w:rFonts w:ascii="Arial" w:cs="Arial" w:eastAsia="Arial" w:hAnsi="Arial"/>
                <w:sz w:val="18"/>
                <w:szCs w:val="18"/>
                <w:color w:val="auto"/>
                <w:w w:val="92"/>
              </w:rPr>
              <w:t>A summary of the pre-tax costs in Earnings from continuing operations associated with the initiatives is as follows: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August 1, 2021</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9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40" w:type="dxa"/>
            <w:vAlign w:val="bottom"/>
            <w:gridSpan w:val="9"/>
            <w:vMerge w:val="restart"/>
          </w:tcPr>
          <w:p>
            <w:pPr>
              <w:ind w:left="340"/>
              <w:spacing w:after="0"/>
              <w:rPr>
                <w:sz w:val="20"/>
                <w:szCs w:val="20"/>
                <w:color w:val="auto"/>
              </w:rPr>
            </w:pPr>
            <w:r>
              <w:rPr>
                <w:rFonts w:ascii="Arial" w:cs="Arial" w:eastAsia="Arial" w:hAnsi="Arial"/>
                <w:sz w:val="18"/>
                <w:szCs w:val="18"/>
                <w:color w:val="auto"/>
                <w:w w:val="93"/>
              </w:rPr>
              <w:t>A summary of the pre-tax costs in Earnings (loss) from discontinued operations associated with these initiatives is as follows:</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640" w:type="dxa"/>
            <w:vAlign w:val="bottom"/>
            <w:gridSpan w:val="9"/>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Recognized as of August</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1, 2021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9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are approximately $710 to $730. This estimate will be updated as costs continue to be developed. The majority of the remaining costs will be incurred in 2022.</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to consist of the following: approximately $220 to $225 in severance pay and benefits; approximately $85 in asset impairment and accelerated depreciation; and approximately $405 to $420 in implementation costs and other related costs. We expect these pre-tax costs to be associated with our segments as follows: Meals &amp; Beverages - approximately 31%; Snacks - approximately 45%; and Corporate - approximately 24%.</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$710 to $730 of pre-tax costs associated with continuing operations, we expect approximately $610 to $630 will be cash expenditures. In addition, we expect to invest approximately $435 in capital expenditures through 2022, of which we invested $401 as of August 1, 2021.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August 1,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Severance Pay</w:t>
            </w:r>
          </w:p>
        </w:tc>
        <w:tc>
          <w:tcPr>
            <w:tcW w:w="12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Implementation</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Other Non-</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Costs and Other</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Impairment/Accelerated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Cash Exit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Charges</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and Benefits</w:t>
            </w:r>
          </w:p>
        </w:tc>
        <w:tc>
          <w:tcPr>
            <w:tcW w:w="120" w:type="dxa"/>
            <w:vAlign w:val="bottom"/>
          </w:tcPr>
          <w:p>
            <w:pPr>
              <w:spacing w:after="0"/>
              <w:rPr>
                <w:sz w:val="16"/>
                <w:szCs w:val="16"/>
                <w:color w:val="auto"/>
              </w:rPr>
            </w:pPr>
          </w:p>
        </w:tc>
        <w:tc>
          <w:tcPr>
            <w:tcW w:w="1420" w:type="dxa"/>
            <w:vAlign w:val="bottom"/>
            <w:gridSpan w:val="2"/>
          </w:tcPr>
          <w:p>
            <w:pPr>
              <w:ind w:left="180"/>
              <w:spacing w:after="0" w:line="189" w:lineRule="exact"/>
              <w:rPr>
                <w:sz w:val="20"/>
                <w:szCs w:val="20"/>
                <w:color w:val="auto"/>
              </w:rPr>
            </w:pPr>
            <w:r>
              <w:rPr>
                <w:rFonts w:ascii="Arial" w:cs="Arial" w:eastAsia="Arial" w:hAnsi="Arial"/>
                <w:sz w:val="14"/>
                <w:szCs w:val="14"/>
                <w:b w:val="1"/>
                <w:bCs w:val="1"/>
                <w:color w:val="auto"/>
              </w:rPr>
              <w:t>Related Costs</w:t>
            </w:r>
            <w:r>
              <w:rPr>
                <w:rFonts w:ascii="Arial" w:cs="Arial" w:eastAsia="Arial" w:hAnsi="Arial"/>
                <w:sz w:val="18"/>
                <w:szCs w:val="18"/>
                <w:b w:val="1"/>
                <w:bCs w:val="1"/>
                <w:color w:val="auto"/>
                <w:vertAlign w:val="superscript"/>
              </w:rPr>
              <w:t>(4)</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00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(5)</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Accrued balance at July 28, 2019</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2020 charges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line="223" w:lineRule="exact"/>
              <w:rPr>
                <w:sz w:val="20"/>
                <w:szCs w:val="20"/>
                <w:color w:val="auto"/>
              </w:rPr>
            </w:pPr>
            <w:r>
              <w:rPr>
                <w:rFonts w:ascii="Arial" w:cs="Arial" w:eastAsia="Arial" w:hAnsi="Arial"/>
                <w:sz w:val="18"/>
                <w:szCs w:val="18"/>
                <w:color w:val="auto"/>
              </w:rPr>
              <w:t>Accrued balance at August 2, 2020</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2021 charges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2021 cash payments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Accrued balance at August 1, 2021</w:t>
            </w:r>
            <w:r>
              <w:rPr>
                <w:rFonts w:ascii="Arial" w:cs="Arial" w:eastAsia="Arial" w:hAnsi="Arial"/>
                <w:sz w:val="23"/>
                <w:szCs w:val="23"/>
                <w:b w:val="1"/>
                <w:bCs w:val="1"/>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$8 of severance pay and benefits recorded in Other liabilities in the Consolidated Balance Sheet.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Includes $3 of severance pay and benefits recorded in Other liabilities in the Consolidated Balance Sheet.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Includes $1 of severance pay and benefits recorded in Other liabilities in the Consolidated Balance Sheet.</w:t>
      </w:r>
    </w:p>
    <w:p>
      <w:pPr>
        <w:spacing w:after="0" w:line="86" w:lineRule="exact"/>
        <w:rPr>
          <w:sz w:val="20"/>
          <w:szCs w:val="20"/>
          <w:color w:val="auto"/>
        </w:rPr>
      </w:pPr>
    </w:p>
    <w:p>
      <w:pPr>
        <w:sectPr>
          <w:pgSz w:w="11900" w:h="16838" w:orient="portrait"/>
          <w:cols w:equalWidth="0" w:num="2">
            <w:col w:w="140" w:space="180"/>
            <w:col w:w="10920"/>
          </w:cols>
          <w:pgMar w:left="320" w:top="989" w:right="339" w:bottom="1440" w:gutter="0" w:footer="0" w:header="0"/>
          <w:type w:val="continuous"/>
        </w:sectPr>
      </w:pPr>
    </w:p>
    <w:p>
      <w:pPr>
        <w:jc w:val="both"/>
        <w:ind w:left="340" w:hanging="332"/>
        <w:spacing w:after="0" w:line="234" w:lineRule="auto"/>
        <w:tabs>
          <w:tab w:leader="none" w:pos="32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6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Costs Incurred to Date</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Snacks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8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the second quarter of 2021, we recorded a $19 deferred tax charge in connection with a legal entity reorganization as part of the continued integration of Snyder's-Lance.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2021 and 2020 excludes approximately 1 million stock options and for 2019 excludes approximately 2 million stock options that would have been antidilutive.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Benefits</w:t>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Pension Benefits — </w:t>
      </w:r>
      <w:r>
        <w:rPr>
          <w:rFonts w:ascii="Arial" w:cs="Arial" w:eastAsia="Arial" w:hAnsi="Arial"/>
          <w:sz w:val="16"/>
          <w:szCs w:val="16"/>
          <w:color w:val="auto"/>
        </w:rPr>
        <w:t>We sponsor a number of noncontributory defined benefit pension plans to provide retirement benefits to eligible U.S. and non-U.S.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w:t>
      </w:r>
    </w:p>
    <w:p>
      <w:pPr>
        <w:spacing w:after="0" w:line="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Postretirement Benefits — </w:t>
      </w:r>
      <w:r>
        <w:rPr>
          <w:rFonts w:ascii="Arial" w:cs="Arial" w:eastAsia="Arial" w:hAnsi="Arial"/>
          <w:sz w:val="18"/>
          <w:szCs w:val="18"/>
          <w:color w:val="auto"/>
        </w:rPr>
        <w:t>We provide postretirement benefits, including health care and life insurance to eligible retired U.S. employees,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their dependents. Accordingly, we sponsor a retiree medical program for eligible retired U.S. employees and fund applicable retiree medical accounts intended to provide reimbursement for eligible health care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expenses on a tax-favored basis for retirees who satisfy certain eligibility requirements. Effective as of January 1, 2019, we no longer sponsor our own retiree medical coverage for substantially all retired U.S. employees that are Medicare eligible. Instead, we offer these Medicare-eligible retirees access to health care coverage through a private exchange and offer a health reimbursement account to subsidize benefits for a select group of such retirees. We also provide postretirement life insurance to all eligible U.S. employees who retired prior to January 1, 2018, as well as certain eligible retired employees covered by one of our collective bargaining agreements.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fiscal year end as the measurement date for the benefit plans.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Components of net benefit expense (income)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Pension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 (gain)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charges (gains)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expense (income)</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settlement gains in 2021 and charges in 2020 resulted from the level of lump sum distributions associated with U.S. and Canadian pension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charges in 2019 resulted from the level of lump sum distributions associated with a U.S. pension plan.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expense (income) associated with discontinued operations was not material in 2020 and $13 in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Postretirement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actuarial loss (gain)</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expense (income)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 in benefit obligation: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Pension</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Postretirement</w:t>
            </w:r>
          </w:p>
        </w:tc>
        <w:tc>
          <w:tcPr>
            <w:tcW w:w="820" w:type="dxa"/>
            <w:vAlign w:val="bottom"/>
            <w:tcBorders>
              <w:bottom w:val="single" w:sz="8" w:color="auto"/>
            </w:tcBorders>
          </w:tcPr>
          <w:p>
            <w:pPr>
              <w:spacing w:after="0"/>
              <w:rPr>
                <w:sz w:val="16"/>
                <w:szCs w:val="16"/>
                <w:color w:val="auto"/>
              </w:rPr>
            </w:pPr>
          </w:p>
        </w:tc>
      </w:tr>
      <w:tr>
        <w:trPr>
          <w:trHeight w:val="187"/>
        </w:trPr>
        <w:tc>
          <w:tcPr>
            <w:tcW w:w="5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 at beginning of year</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2,366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2,345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adjustment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Benefit obligation at end of year</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2,186</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2,366</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5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actuarial losses (gains) in our pension and postretirement benefit obligations were primarily due to changes in the discount rates used to determine the benefit obligation.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5" w:name="page56"/>
    <w:bookmarkEnd w:id="55"/>
    <w:p>
      <w:pPr>
        <w:ind w:left="180"/>
        <w:spacing w:after="0"/>
        <w:rPr>
          <w:sz w:val="20"/>
          <w:szCs w:val="20"/>
          <w:color w:val="auto"/>
        </w:rPr>
      </w:pPr>
      <w:r>
        <w:rPr>
          <w:rFonts w:ascii="Arial" w:cs="Arial" w:eastAsia="Arial" w:hAnsi="Arial"/>
          <w:sz w:val="18"/>
          <w:szCs w:val="18"/>
          <w:b w:val="1"/>
          <w:bCs w:val="1"/>
          <w:i w:val="1"/>
          <w:iCs w:val="1"/>
          <w:color w:val="auto"/>
        </w:rPr>
        <w:t>Change in the fair value of pension plan assets:</w:t>
      </w:r>
    </w:p>
    <w:p>
      <w:pPr>
        <w:spacing w:after="0" w:line="41" w:lineRule="exact"/>
        <w:rPr>
          <w:sz w:val="20"/>
          <w:szCs w:val="20"/>
          <w:color w:val="auto"/>
        </w:rPr>
      </w:pPr>
    </w:p>
    <w:p>
      <w:pPr>
        <w:jc w:val="both"/>
        <w:ind w:left="896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40"/>
          </w:cols>
          <w:pgMar w:left="320" w:top="989" w:right="339" w:bottom="1440" w:gutter="0" w:footer="0" w:header="0"/>
        </w:sectPr>
      </w:pP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Fair value at beginning of year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Actual return on plan assets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Employer contributions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Settlements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Divestitures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Foreign currency adjustment</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Fair value at end of year</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Net amounts recognized in the Consolidated Balance Sheets: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w:t>
            </w:r>
          </w:p>
        </w:tc>
      </w:tr>
      <w:tr>
        <w:trPr>
          <w:trHeight w:val="230"/>
        </w:trPr>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4"/>
        </w:trPr>
        <w:tc>
          <w:tcPr>
            <w:tcW w:w="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r>
      <w:tr>
        <w:trPr>
          <w:trHeight w:val="21"/>
        </w:trPr>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1"/>
        </w:trPr>
        <w:tc>
          <w:tcPr>
            <w:tcW w:w="960" w:type="dxa"/>
            <w:vAlign w:val="bottom"/>
          </w:tcPr>
          <w:p>
            <w:pPr>
              <w:spacing w:after="0"/>
              <w:rPr>
                <w:sz w:val="24"/>
                <w:szCs w:val="24"/>
                <w:color w:val="auto"/>
              </w:rPr>
            </w:pPr>
          </w:p>
        </w:tc>
        <w:tc>
          <w:tcPr>
            <w:tcW w:w="2160" w:type="dxa"/>
            <w:vAlign w:val="bottom"/>
            <w:gridSpan w:val="4"/>
          </w:tcPr>
          <w:p>
            <w:pPr>
              <w:jc w:val="right"/>
              <w:ind w:right="1520"/>
              <w:spacing w:after="0"/>
              <w:rPr>
                <w:sz w:val="20"/>
                <w:szCs w:val="20"/>
                <w:color w:val="auto"/>
              </w:rPr>
            </w:pPr>
            <w:r>
              <w:rPr>
                <w:rFonts w:ascii="Arial" w:cs="Arial" w:eastAsia="Arial" w:hAnsi="Arial"/>
                <w:sz w:val="14"/>
                <w:szCs w:val="14"/>
                <w:b w:val="1"/>
                <w:bCs w:val="1"/>
                <w:color w:val="auto"/>
              </w:rPr>
              <w:t>Pension</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860" w:type="dxa"/>
            <w:vAlign w:val="bottom"/>
          </w:tcPr>
          <w:p>
            <w:pPr>
              <w:spacing w:after="0"/>
              <w:rPr>
                <w:sz w:val="24"/>
                <w:szCs w:val="24"/>
                <w:color w:val="auto"/>
              </w:rPr>
            </w:pPr>
          </w:p>
        </w:tc>
      </w:tr>
      <w:tr>
        <w:trPr>
          <w:trHeight w:val="186"/>
        </w:trPr>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7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-1669415</wp:posOffset>
            </wp:positionV>
            <wp:extent cx="707199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-1369060</wp:posOffset>
            </wp:positionV>
            <wp:extent cx="707199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-1077595</wp:posOffset>
            </wp:positionV>
            <wp:extent cx="70719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-786130</wp:posOffset>
            </wp:positionV>
            <wp:extent cx="707199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20" w:space="720"/>
            <w:col w:w="5600"/>
          </w:cols>
          <w:pgMar w:left="320" w:top="989" w:right="339" w:bottom="1440" w:gutter="0" w:footer="0" w:header="0"/>
          <w:type w:val="continuous"/>
        </w:sectPr>
      </w:pPr>
    </w:p>
    <w:tbl>
      <w:tblPr>
        <w:tblLayout w:type="fixed"/>
        <w:tblInd w:w="4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Net amounts recognized asset / (liability)</w:t>
            </w: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0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Amounts recognized in accumulated other comprehensive income (loss)</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Pension</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Postretirement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consist of:</w:t>
            </w: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Prior service credit (cost)</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amounts recognized in accumulated other comprehensive income (loss) associated with postretirement benefits was due to amortization in 2021 and 2020.</w:t>
      </w:r>
    </w:p>
    <w:p>
      <w:pPr>
        <w:spacing w:after="0" w:line="35" w:lineRule="exact"/>
        <w:rPr>
          <w:sz w:val="20"/>
          <w:szCs w:val="20"/>
          <w:color w:val="auto"/>
        </w:rPr>
      </w:pPr>
    </w:p>
    <w:p>
      <w:pPr>
        <w:jc w:val="both"/>
        <w:ind w:right="20" w:firstLine="324"/>
        <w:spacing w:after="0" w:line="269" w:lineRule="auto"/>
        <w:rPr>
          <w:sz w:val="20"/>
          <w:szCs w:val="20"/>
          <w:color w:val="auto"/>
        </w:rPr>
      </w:pPr>
      <w:r>
        <w:rPr>
          <w:rFonts w:ascii="Arial" w:cs="Arial" w:eastAsia="Arial" w:hAnsi="Arial"/>
          <w:sz w:val="18"/>
          <w:szCs w:val="18"/>
          <w:color w:val="auto"/>
        </w:rPr>
        <w:t>The following table provides information for pension plans with projected benefit obligations in excess of plan assets and accumulated benefit obligations in excess of plan assets:</w:t>
      </w: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900" w:type="dxa"/>
            <w:vAlign w:val="bottom"/>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for all pension plans was $2,159 at August 1, 2021, and $2,338 at August 2, 2020.</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 at the end of the year:</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680" w:type="dxa"/>
            <w:vAlign w:val="bottom"/>
            <w:tcBorders>
              <w:bottom w:val="single" w:sz="8" w:color="auto"/>
            </w:tcBorders>
            <w:gridSpan w:val="4"/>
          </w:tcPr>
          <w:p>
            <w:pPr>
              <w:ind w:left="1120"/>
              <w:spacing w:after="0"/>
              <w:rPr>
                <w:sz w:val="20"/>
                <w:szCs w:val="20"/>
                <w:color w:val="auto"/>
              </w:rPr>
            </w:pPr>
            <w:r>
              <w:rPr>
                <w:rFonts w:ascii="Arial" w:cs="Arial" w:eastAsia="Arial" w:hAnsi="Arial"/>
                <w:sz w:val="14"/>
                <w:szCs w:val="14"/>
                <w:b w:val="1"/>
                <w:bCs w:val="1"/>
                <w:color w:val="auto"/>
                <w:w w:val="99"/>
              </w:rPr>
              <w:t>Pension</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830"/>
              <w:spacing w:after="0"/>
              <w:rPr>
                <w:sz w:val="20"/>
                <w:szCs w:val="20"/>
                <w:color w:val="auto"/>
              </w:rPr>
            </w:pPr>
            <w:r>
              <w:rPr>
                <w:rFonts w:ascii="Arial" w:cs="Arial" w:eastAsia="Arial" w:hAnsi="Arial"/>
                <w:sz w:val="14"/>
                <w:szCs w:val="14"/>
                <w:b w:val="1"/>
                <w:bCs w:val="1"/>
                <w:color w:val="auto"/>
                <w:w w:val="91"/>
              </w:rPr>
              <w:t>Postretirement</w:t>
            </w:r>
          </w:p>
        </w:tc>
      </w:tr>
      <w:tr>
        <w:trPr>
          <w:trHeight w:val="187"/>
        </w:trPr>
        <w:tc>
          <w:tcPr>
            <w:tcW w:w="55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2021</w:t>
            </w:r>
          </w:p>
        </w:tc>
        <w:tc>
          <w:tcPr>
            <w:tcW w:w="182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2.69%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right="154"/>
              <w:spacing w:after="0"/>
              <w:rPr>
                <w:sz w:val="20"/>
                <w:szCs w:val="20"/>
                <w:color w:val="auto"/>
              </w:rPr>
            </w:pPr>
            <w:r>
              <w:rPr>
                <w:rFonts w:ascii="Arial" w:cs="Arial" w:eastAsia="Arial" w:hAnsi="Arial"/>
                <w:sz w:val="18"/>
                <w:szCs w:val="18"/>
                <w:color w:val="auto"/>
                <w:w w:val="90"/>
              </w:rPr>
              <w:t>2.47%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b w:val="1"/>
                <w:bCs w:val="1"/>
                <w:color w:val="auto"/>
                <w:w w:val="93"/>
              </w:rPr>
              <w:t>2.37%</w:t>
            </w: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2.15%</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3.23%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center"/>
              <w:ind w:right="154"/>
              <w:spacing w:after="0"/>
              <w:rPr>
                <w:sz w:val="20"/>
                <w:szCs w:val="20"/>
                <w:color w:val="auto"/>
              </w:rPr>
            </w:pPr>
            <w:r>
              <w:rPr>
                <w:rFonts w:ascii="Arial" w:cs="Arial" w:eastAsia="Arial" w:hAnsi="Arial"/>
                <w:sz w:val="18"/>
                <w:szCs w:val="18"/>
                <w:color w:val="auto"/>
                <w:w w:val="90"/>
              </w:rPr>
              <w:t>3.23%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left="295"/>
              <w:spacing w:after="0"/>
              <w:rPr>
                <w:sz w:val="20"/>
                <w:szCs w:val="20"/>
                <w:color w:val="auto"/>
              </w:rPr>
            </w:pPr>
            <w:r>
              <w:rPr>
                <w:rFonts w:ascii="Arial" w:cs="Arial" w:eastAsia="Arial" w:hAnsi="Arial"/>
                <w:sz w:val="18"/>
                <w:szCs w:val="18"/>
                <w:b w:val="1"/>
                <w:bCs w:val="1"/>
                <w:color w:val="auto"/>
                <w:w w:val="93"/>
              </w:rPr>
              <w:t>3.25%</w:t>
            </w:r>
          </w:p>
        </w:tc>
        <w:tc>
          <w:tcPr>
            <w:tcW w:w="1820" w:type="dxa"/>
            <w:vAlign w:val="bottom"/>
            <w:gridSpan w:val="5"/>
          </w:tcPr>
          <w:p>
            <w:pPr>
              <w:jc w:val="center"/>
              <w:ind w:left="418"/>
              <w:spacing w:after="0"/>
              <w:rPr>
                <w:sz w:val="20"/>
                <w:szCs w:val="20"/>
                <w:color w:val="auto"/>
              </w:rPr>
            </w:pPr>
            <w:r>
              <w:rPr>
                <w:rFonts w:ascii="Arial" w:cs="Arial" w:eastAsia="Arial" w:hAnsi="Arial"/>
                <w:sz w:val="18"/>
                <w:szCs w:val="18"/>
                <w:color w:val="auto"/>
                <w:w w:val="93"/>
              </w:rPr>
              <w:t>3.25%</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crediting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0"/>
              </w:rPr>
              <w:t>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72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2"/>
              </w:rPr>
              <w:t>Not applicable</w:t>
            </w:r>
          </w:p>
        </w:tc>
      </w:tr>
      <w:tr>
        <w:trPr>
          <w:trHeight w:val="310"/>
        </w:trPr>
        <w:tc>
          <w:tcPr>
            <w:tcW w:w="726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w w:val="86"/>
              </w:rPr>
              <w:t>Weighted-average assumptions used to determine net periodic benefit cost for the years ended: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0"/>
        </w:trPr>
        <w:tc>
          <w:tcPr>
            <w:tcW w:w="5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1"/>
              </w:rPr>
              <w:t>Pension</w:t>
            </w: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87"/>
        </w:trPr>
        <w:tc>
          <w:tcPr>
            <w:tcW w:w="5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ind w:left="255"/>
              <w:spacing w:after="0"/>
              <w:rPr>
                <w:sz w:val="20"/>
                <w:szCs w:val="20"/>
                <w:color w:val="auto"/>
              </w:rPr>
            </w:pPr>
            <w:r>
              <w:rPr>
                <w:rFonts w:ascii="Arial" w:cs="Arial" w:eastAsia="Arial" w:hAnsi="Arial"/>
                <w:sz w:val="14"/>
                <w:szCs w:val="14"/>
                <w:b w:val="1"/>
                <w:bCs w:val="1"/>
                <w:color w:val="auto"/>
                <w:w w:val="89"/>
              </w:rPr>
              <w:t>2020</w:t>
            </w:r>
          </w:p>
        </w:tc>
        <w:tc>
          <w:tcPr>
            <w:tcW w:w="1820" w:type="dxa"/>
            <w:vAlign w:val="bottom"/>
            <w:gridSpan w:val="5"/>
          </w:tcPr>
          <w:p>
            <w:pPr>
              <w:jc w:val="center"/>
              <w:ind w:left="398"/>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right="234"/>
              <w:spacing w:after="0"/>
              <w:rPr>
                <w:sz w:val="20"/>
                <w:szCs w:val="20"/>
                <w:color w:val="auto"/>
              </w:rPr>
            </w:pPr>
            <w:r>
              <w:rPr>
                <w:rFonts w:ascii="Arial" w:cs="Arial" w:eastAsia="Arial" w:hAnsi="Arial"/>
                <w:sz w:val="18"/>
                <w:szCs w:val="18"/>
                <w:b w:val="1"/>
                <w:bCs w:val="1"/>
                <w:color w:val="auto"/>
                <w:w w:val="97"/>
              </w:rPr>
              <w:t>2.47%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93"/>
              </w:rPr>
              <w:t>3.46%</w:t>
            </w: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4.15%</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center"/>
              <w:ind w:right="234"/>
              <w:spacing w:after="0"/>
              <w:rPr>
                <w:sz w:val="20"/>
                <w:szCs w:val="20"/>
                <w:color w:val="auto"/>
              </w:rPr>
            </w:pPr>
            <w:r>
              <w:rPr>
                <w:rFonts w:ascii="Arial" w:cs="Arial" w:eastAsia="Arial" w:hAnsi="Arial"/>
                <w:sz w:val="18"/>
                <w:szCs w:val="18"/>
                <w:b w:val="1"/>
                <w:bCs w:val="1"/>
                <w:color w:val="auto"/>
                <w:w w:val="97"/>
              </w:rPr>
              <w:t>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left="255"/>
              <w:spacing w:after="0"/>
              <w:rPr>
                <w:sz w:val="20"/>
                <w:szCs w:val="20"/>
                <w:color w:val="auto"/>
              </w:rPr>
            </w:pPr>
            <w:r>
              <w:rPr>
                <w:rFonts w:ascii="Arial" w:cs="Arial" w:eastAsia="Arial" w:hAnsi="Arial"/>
                <w:sz w:val="18"/>
                <w:szCs w:val="18"/>
                <w:color w:val="auto"/>
                <w:w w:val="93"/>
              </w:rPr>
              <w:t>6.85%</w:t>
            </w:r>
          </w:p>
        </w:tc>
        <w:tc>
          <w:tcPr>
            <w:tcW w:w="1820" w:type="dxa"/>
            <w:vAlign w:val="bottom"/>
            <w:gridSpan w:val="5"/>
          </w:tcPr>
          <w:p>
            <w:pPr>
              <w:jc w:val="center"/>
              <w:ind w:left="398"/>
              <w:spacing w:after="0"/>
              <w:rPr>
                <w:sz w:val="20"/>
                <w:szCs w:val="20"/>
                <w:color w:val="auto"/>
              </w:rPr>
            </w:pPr>
            <w:r>
              <w:rPr>
                <w:rFonts w:ascii="Arial" w:cs="Arial" w:eastAsia="Arial" w:hAnsi="Arial"/>
                <w:sz w:val="18"/>
                <w:szCs w:val="18"/>
                <w:color w:val="auto"/>
                <w:w w:val="90"/>
              </w:rPr>
              <w:t>6.86%</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34"/>
              <w:spacing w:after="0"/>
              <w:rPr>
                <w:sz w:val="20"/>
                <w:szCs w:val="20"/>
                <w:color w:val="auto"/>
              </w:rPr>
            </w:pPr>
            <w:r>
              <w:rPr>
                <w:rFonts w:ascii="Arial" w:cs="Arial" w:eastAsia="Arial" w:hAnsi="Arial"/>
                <w:sz w:val="18"/>
                <w:szCs w:val="18"/>
                <w:b w:val="1"/>
                <w:bCs w:val="1"/>
                <w:color w:val="auto"/>
                <w:w w:val="97"/>
              </w:rPr>
              <w:t>3.23%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3"/>
              </w:rPr>
              <w:t>3.20%</w:t>
            </w:r>
          </w:p>
        </w:tc>
        <w:tc>
          <w:tcPr>
            <w:tcW w:w="1820" w:type="dxa"/>
            <w:vAlign w:val="bottom"/>
            <w:gridSpan w:val="5"/>
            <w:shd w:val="clear" w:color="auto" w:fill="CCEEFF"/>
          </w:tcPr>
          <w:p>
            <w:pPr>
              <w:jc w:val="center"/>
              <w:ind w:left="398"/>
              <w:spacing w:after="0"/>
              <w:rPr>
                <w:sz w:val="20"/>
                <w:szCs w:val="20"/>
                <w:color w:val="auto"/>
              </w:rPr>
            </w:pPr>
            <w:r>
              <w:rPr>
                <w:rFonts w:ascii="Arial" w:cs="Arial" w:eastAsia="Arial" w:hAnsi="Arial"/>
                <w:sz w:val="18"/>
                <w:szCs w:val="18"/>
                <w:color w:val="auto"/>
                <w:w w:val="90"/>
              </w:rPr>
              <w:t>3.21%</w:t>
            </w:r>
          </w:p>
        </w:tc>
      </w:tr>
      <w:tr>
        <w:trPr>
          <w:trHeight w:val="234"/>
        </w:trPr>
        <w:tc>
          <w:tcPr>
            <w:tcW w:w="5580" w:type="dxa"/>
            <w:vAlign w:val="bottom"/>
          </w:tcPr>
          <w:p>
            <w:pPr>
              <w:ind w:left="20"/>
              <w:spacing w:after="0"/>
              <w:rPr>
                <w:sz w:val="20"/>
                <w:szCs w:val="20"/>
                <w:color w:val="auto"/>
              </w:rPr>
            </w:pPr>
            <w:r>
              <w:rPr>
                <w:rFonts w:ascii="Arial" w:cs="Arial" w:eastAsia="Arial" w:hAnsi="Arial"/>
                <w:sz w:val="18"/>
                <w:szCs w:val="18"/>
                <w:color w:val="auto"/>
              </w:rPr>
              <w:t>Interest crediting rate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center"/>
              <w:ind w:right="234"/>
              <w:spacing w:after="0"/>
              <w:rPr>
                <w:sz w:val="20"/>
                <w:szCs w:val="20"/>
                <w:color w:val="auto"/>
              </w:rPr>
            </w:pPr>
            <w:r>
              <w:rPr>
                <w:rFonts w:ascii="Arial" w:cs="Arial" w:eastAsia="Arial" w:hAnsi="Arial"/>
                <w:sz w:val="18"/>
                <w:szCs w:val="18"/>
                <w:b w:val="1"/>
                <w:bCs w:val="1"/>
                <w:color w:val="auto"/>
                <w:w w:val="97"/>
              </w:rPr>
              <w:t>4.00%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jc w:val="center"/>
              <w:ind w:left="255"/>
              <w:spacing w:after="0"/>
              <w:rPr>
                <w:sz w:val="20"/>
                <w:szCs w:val="20"/>
                <w:color w:val="auto"/>
              </w:rPr>
            </w:pPr>
            <w:r>
              <w:rPr>
                <w:rFonts w:ascii="Arial" w:cs="Arial" w:eastAsia="Arial" w:hAnsi="Arial"/>
                <w:sz w:val="18"/>
                <w:szCs w:val="18"/>
                <w:color w:val="auto"/>
                <w:w w:val="93"/>
              </w:rPr>
              <w:t>4.00%</w:t>
            </w:r>
          </w:p>
        </w:tc>
        <w:tc>
          <w:tcPr>
            <w:tcW w:w="1820" w:type="dxa"/>
            <w:vAlign w:val="bottom"/>
            <w:gridSpan w:val="5"/>
          </w:tcPr>
          <w:p>
            <w:pPr>
              <w:jc w:val="center"/>
              <w:ind w:left="398"/>
              <w:spacing w:after="0"/>
              <w:rPr>
                <w:sz w:val="20"/>
                <w:szCs w:val="20"/>
                <w:color w:val="auto"/>
              </w:rPr>
            </w:pPr>
            <w:r>
              <w:rPr>
                <w:rFonts w:ascii="Arial" w:cs="Arial" w:eastAsia="Arial" w:hAnsi="Arial"/>
                <w:sz w:val="18"/>
                <w:szCs w:val="18"/>
                <w:color w:val="auto"/>
                <w:w w:val="90"/>
              </w:rPr>
              <w:t>3.25%</w:t>
            </w:r>
          </w:p>
        </w:tc>
      </w:tr>
    </w:tbl>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investment mix. This estimate is based on an estimate of future inflation, long-term projected real returns for each asset class, and a premium for active management.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to determine net periodic postretirement expense was 2.15% in 2021, 3.28% in 2020, and 4.06% in 2019.</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Assumed health care cost trend rates at the end of the year:</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3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6.25%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6.25%</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4.50%</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year-end pension plan weighted-average asset allocations by category were:</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Strategic Target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38%</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Debt securities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56%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57%</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53%</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Real estate and other</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
        </w:trPr>
        <w:tc>
          <w:tcPr>
            <w:tcW w:w="7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Pension plan assets are categorized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presents our pension plan assets by asset category at August 1, 2021, and August 2, 2020:</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2"/>
              </w:rPr>
              <w:t>Fair Value Measurements at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8"/>
          </w:tcPr>
          <w:p>
            <w:pPr>
              <w:jc w:val="center"/>
              <w:ind w:right="111"/>
              <w:spacing w:after="0"/>
              <w:rPr>
                <w:sz w:val="20"/>
                <w:szCs w:val="20"/>
                <w:color w:val="auto"/>
              </w:rPr>
            </w:pPr>
            <w:r>
              <w:rPr>
                <w:rFonts w:ascii="Arial" w:cs="Arial" w:eastAsia="Arial" w:hAnsi="Arial"/>
                <w:sz w:val="14"/>
                <w:szCs w:val="14"/>
                <w:b w:val="1"/>
                <w:bCs w:val="1"/>
                <w:color w:val="auto"/>
                <w:w w:val="92"/>
              </w:rPr>
              <w:t>Fair Value Measurements at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6"/>
          </w:tcPr>
          <w:p>
            <w:pPr>
              <w:jc w:val="center"/>
              <w:ind w:right="30"/>
              <w:spacing w:after="0" w:line="135" w:lineRule="exact"/>
              <w:rPr>
                <w:sz w:val="20"/>
                <w:szCs w:val="20"/>
                <w:color w:val="auto"/>
              </w:rPr>
            </w:pPr>
            <w:r>
              <w:rPr>
                <w:rFonts w:ascii="Arial" w:cs="Arial" w:eastAsia="Arial" w:hAnsi="Arial"/>
                <w:sz w:val="14"/>
                <w:szCs w:val="14"/>
                <w:b w:val="1"/>
                <w:bCs w:val="1"/>
                <w:color w:val="auto"/>
                <w:w w:val="90"/>
              </w:rPr>
              <w:t>August 1, 2021 Using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6"/>
          </w:tcPr>
          <w:p>
            <w:pPr>
              <w:jc w:val="center"/>
              <w:ind w:right="30"/>
              <w:spacing w:after="0" w:line="135" w:lineRule="exact"/>
              <w:rPr>
                <w:sz w:val="20"/>
                <w:szCs w:val="20"/>
                <w:color w:val="auto"/>
              </w:rPr>
            </w:pPr>
            <w:r>
              <w:rPr>
                <w:rFonts w:ascii="Arial" w:cs="Arial" w:eastAsia="Arial" w:hAnsi="Arial"/>
                <w:sz w:val="14"/>
                <w:szCs w:val="14"/>
                <w:b w:val="1"/>
                <w:bCs w:val="1"/>
                <w:color w:val="auto"/>
                <w:w w:val="90"/>
              </w:rPr>
              <w:t>August 2, 2020 Using</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40" w:type="dxa"/>
            <w:vAlign w:val="bottom"/>
            <w:gridSpan w:val="6"/>
            <w:vMerge w:val="restart"/>
          </w:tcPr>
          <w:p>
            <w:pPr>
              <w:jc w:val="center"/>
              <w:ind w:right="30"/>
              <w:spacing w:after="0"/>
              <w:rPr>
                <w:sz w:val="20"/>
                <w:szCs w:val="20"/>
                <w:color w:val="auto"/>
              </w:rPr>
            </w:pPr>
            <w:r>
              <w:rPr>
                <w:rFonts w:ascii="Arial" w:cs="Arial" w:eastAsia="Arial" w:hAnsi="Arial"/>
                <w:sz w:val="14"/>
                <w:szCs w:val="14"/>
                <w:b w:val="1"/>
                <w:bCs w:val="1"/>
                <w:color w:val="auto"/>
                <w:w w:val="97"/>
              </w:rPr>
              <w:t>Fair Value Hierarchy</w:t>
            </w: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40" w:type="dxa"/>
            <w:vAlign w:val="bottom"/>
            <w:gridSpan w:val="6"/>
            <w:vMerge w:val="restart"/>
          </w:tcPr>
          <w:p>
            <w:pPr>
              <w:jc w:val="center"/>
              <w:ind w:right="30"/>
              <w:spacing w:after="0"/>
              <w:rPr>
                <w:sz w:val="20"/>
                <w:szCs w:val="20"/>
                <w:color w:val="auto"/>
              </w:rPr>
            </w:pPr>
            <w:r>
              <w:rPr>
                <w:rFonts w:ascii="Arial" w:cs="Arial" w:eastAsia="Arial" w:hAnsi="Arial"/>
                <w:sz w:val="14"/>
                <w:szCs w:val="14"/>
                <w:b w:val="1"/>
                <w:bCs w:val="1"/>
                <w:color w:val="auto"/>
                <w:w w:val="97"/>
              </w:rPr>
              <w:t>Fair Value Hierarchy</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272"/>
              <w:spacing w:after="0" w:line="107" w:lineRule="exact"/>
              <w:rPr>
                <w:sz w:val="20"/>
                <w:szCs w:val="20"/>
                <w:color w:val="auto"/>
              </w:rPr>
            </w:pPr>
            <w:r>
              <w:rPr>
                <w:rFonts w:ascii="Arial" w:cs="Arial" w:eastAsia="Arial" w:hAnsi="Arial"/>
                <w:sz w:val="12"/>
                <w:szCs w:val="12"/>
                <w:b w:val="1"/>
                <w:bCs w:val="1"/>
                <w:color w:val="auto"/>
              </w:rPr>
              <w:t>as of</w:t>
            </w: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6"/>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272"/>
              <w:spacing w:after="0" w:line="107" w:lineRule="exact"/>
              <w:rPr>
                <w:sz w:val="20"/>
                <w:szCs w:val="20"/>
                <w:color w:val="auto"/>
              </w:rPr>
            </w:pPr>
            <w:r>
              <w:rPr>
                <w:rFonts w:ascii="Arial" w:cs="Arial" w:eastAsia="Arial" w:hAnsi="Arial"/>
                <w:sz w:val="12"/>
                <w:szCs w:val="12"/>
                <w:b w:val="1"/>
                <w:bCs w:val="1"/>
                <w:color w:val="auto"/>
              </w:rPr>
              <w:t>as of</w:t>
            </w: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6"/>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August 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August 2, 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7"/>
                <w:szCs w:val="17"/>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30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30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Non-U.S.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w w:val="96"/>
              </w:rPr>
              <w:t>Government and agency bonds: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30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Mortgage and asset backed</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30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88"/>
              </w:rPr>
              <w:t>Investments measured at net asset</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0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20"/>
              <w:spacing w:after="0"/>
              <w:rPr>
                <w:sz w:val="20"/>
                <w:szCs w:val="20"/>
                <w:color w:val="auto"/>
              </w:rPr>
            </w:pPr>
            <w:r>
              <w:rPr>
                <w:rFonts w:ascii="Arial" w:cs="Arial" w:eastAsia="Arial" w:hAnsi="Arial"/>
                <w:sz w:val="18"/>
                <w:szCs w:val="18"/>
                <w:color w:val="auto"/>
              </w:rPr>
              <w:t>Commingled funds: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8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Hedge funds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89"/>
              </w:rPr>
              <w:t>Total investments measured at net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asset value:</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40" w:type="dxa"/>
            <w:vAlign w:val="bottom"/>
          </w:tcPr>
          <w:p>
            <w:pPr>
              <w:ind w:left="140"/>
              <w:spacing w:after="0" w:line="156" w:lineRule="exact"/>
              <w:rPr>
                <w:sz w:val="20"/>
                <w:szCs w:val="20"/>
                <w:color w:val="auto"/>
              </w:rPr>
            </w:pPr>
            <w:r>
              <w:rPr>
                <w:rFonts w:ascii="Arial" w:cs="Arial" w:eastAsia="Arial" w:hAnsi="Arial"/>
                <w:sz w:val="18"/>
                <w:szCs w:val="18"/>
                <w:color w:val="auto"/>
              </w:rPr>
              <w:t>Other items to reconcile to fair</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value of plan assets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7"/>
              </w:rPr>
              <w:t>Total pension plan assets at fair</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Investments include cash and cash equivalents, and various short-term debt instruments and short-term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Equities — </w:t>
      </w:r>
      <w:r>
        <w:rPr>
          <w:rFonts w:ascii="Arial" w:cs="Arial" w:eastAsia="Arial" w:hAnsi="Arial"/>
          <w:sz w:val="16"/>
          <w:szCs w:val="16"/>
          <w:color w:val="auto"/>
        </w:rPr>
        <w:t>Generally common stocks and preferred stocks are classified as Level 1 and are valued using quoted market prices in active markets.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1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Government and agency bonds — </w:t>
      </w:r>
      <w:r>
        <w:rPr>
          <w:rFonts w:ascii="Arial" w:cs="Arial" w:eastAsia="Arial" w:hAnsi="Arial"/>
          <w:sz w:val="18"/>
          <w:szCs w:val="18"/>
          <w:color w:val="auto"/>
        </w:rPr>
        <w:t>These investments are generally valued based on bid quotations and recent trade data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0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Mortgage and asset backed securities — </w:t>
      </w:r>
      <w:r>
        <w:rPr>
          <w:rFonts w:ascii="Arial" w:cs="Arial" w:eastAsia="Arial" w:hAnsi="Arial"/>
          <w:sz w:val="16"/>
          <w:szCs w:val="16"/>
          <w:color w:val="auto"/>
        </w:rPr>
        <w:t>These investments are valued based on prices obtained from third party pricing sources. The prices from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pricing sources may be based on bid quotes from dealers and recent trade data. Mortgage backed securities are traded in the over-the-counter market.</w:t>
      </w:r>
    </w:p>
    <w:p>
      <w:pPr>
        <w:spacing w:after="0" w:line="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Real estate — </w:t>
      </w:r>
      <w:r>
        <w:rPr>
          <w:rFonts w:ascii="Arial" w:cs="Arial" w:eastAsia="Arial" w:hAnsi="Arial"/>
          <w:sz w:val="18"/>
          <w:szCs w:val="18"/>
          <w:color w:val="auto"/>
        </w:rPr>
        <w:t>Real estate investments consist of real estate investment trusts, property funds and limited partnerships. Real estate investment trusts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3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swaps. Derivative financial instruments are classified as Level 2 and are valued based on observable market transactions or prices.</w:t>
      </w:r>
    </w:p>
    <w:p>
      <w:pPr>
        <w:spacing w:after="0" w:line="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Commingled funds — </w:t>
      </w:r>
      <w:r>
        <w:rPr>
          <w:rFonts w:ascii="Arial" w:cs="Arial" w:eastAsia="Arial" w:hAnsi="Arial"/>
          <w:sz w:val="18"/>
          <w:szCs w:val="18"/>
          <w:color w:val="auto"/>
        </w:rPr>
        <w:t>Investments in commingled funds are not traded in active markets. Blended commingled funds are invested in both equities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 income securities. Commingled funds are valued based on the net asset values of such funds and are included as a reconciling item to the fair value table.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items to reconcile to fair value of plan assets included amounts due for securities sold, amounts payable for securities purchased, and other payables.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fair value of Level 3 investments for the years ended August 1, 2021, and August 2, 2020:</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Hedge Funds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August 2, 2020</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Actual return on plan assets</w:t>
            </w:r>
          </w:p>
        </w:tc>
        <w:tc>
          <w:tcPr>
            <w:tcW w:w="10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Purchases, sales and settlements, net</w:t>
            </w:r>
          </w:p>
        </w:tc>
        <w:tc>
          <w:tcPr>
            <w:tcW w:w="10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Transfers out of Level 3</w:t>
            </w:r>
          </w:p>
        </w:tc>
        <w:tc>
          <w:tcPr>
            <w:tcW w:w="10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August 1, 2021</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616"/>
        </w:trPr>
        <w:tc>
          <w:tcPr>
            <w:tcW w:w="70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Hedge Funds</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July 28, 2019</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0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net</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10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August 2, 2020</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b w:val="1"/>
          <w:bCs w:val="1"/>
          <w:i w:val="1"/>
          <w:iCs w:val="1"/>
          <w:color w:val="auto"/>
        </w:rPr>
        <w:t>Estimated future benefit payments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Postretirement</w:t>
            </w:r>
          </w:p>
        </w:tc>
      </w:tr>
      <w:tr>
        <w:trPr>
          <w:trHeight w:val="229"/>
        </w:trPr>
        <w:tc>
          <w:tcPr>
            <w:tcW w:w="8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2027-2031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future benefit payments include payments from funded and unfunded plans.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contributions to pension plans to be material in 2022.</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Defined Contribution Plans — </w:t>
      </w:r>
      <w:r>
        <w:rPr>
          <w:rFonts w:ascii="Arial" w:cs="Arial" w:eastAsia="Arial" w:hAnsi="Arial"/>
          <w:sz w:val="18"/>
          <w:szCs w:val="18"/>
          <w:color w:val="auto"/>
        </w:rPr>
        <w:t>We sponsor a 401(k) Retirement Plan that covers substantially all U.S. employees and provide a matching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of 100% of employee contributions up to 4% of eligible compensation. In addition, for employees not eligible to participate in defined benefit plans that we sponsor, we provide a contribution equal to 3% of eligible compensation regardless of their participation in the 401(k) Retirement Plan. Through December 31, 2019, all Snyder's-Lance U.S. employees were eligible to participate in a 401(k) retirement plan sponsored by Snyder's-Lance that provided participants with matching contributions equal to 100% of the first 4% and 50% of the next 1% of eligible compensation. As of January 1, 2020, Snyder's-Lance employees were transitioned to the 401(k) Retirement Plan and receive the same contributions under the 401(k) Retirement Plan noted above. Amounts charged to Costs and expenses of continuing operations were $64 in 2021, $62 in 2020 and $52 in 2019. Amounts charged to discontinued operations were $4 in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lease warehouse and distribution facilities, office space, manufacturing facilities, equipment and vehicles, primarily through operating leases.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Leases recorded on our Consolidated Balance Sheet have remaining terms primarily from 1 to 14 years.</w:t>
      </w:r>
    </w:p>
    <w:p>
      <w:pPr>
        <w:spacing w:after="0" w:line="9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Finance lease - amortization of ROU assets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480" w:type="dxa"/>
            <w:vAlign w:val="bottom"/>
          </w:tcPr>
          <w:p>
            <w:pPr>
              <w:ind w:left="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8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included in our service contracts with embedded leases.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Total lease cost in 2020 included $4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summarizes the lease amounts recorded in the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Operating Leases</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240" w:type="dxa"/>
            <w:vAlign w:val="bottom"/>
            <w:gridSpan w:val="4"/>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453"/>
        </w:trPr>
        <w:tc>
          <w:tcPr>
            <w:tcW w:w="5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Financing Leases</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Plant assets, net of depreciation</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240" w:type="dxa"/>
            <w:vAlign w:val="bottom"/>
            <w:gridSpan w:val="4"/>
          </w:tcPr>
          <w:p>
            <w:pPr>
              <w:ind w:left="2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540"/>
        </w:trPr>
        <w:tc>
          <w:tcPr>
            <w:tcW w:w="5280" w:type="dxa"/>
            <w:vAlign w:val="bottom"/>
          </w:tcPr>
          <w:p>
            <w:pPr>
              <w:ind w:left="340"/>
              <w:spacing w:after="0"/>
              <w:rPr>
                <w:sz w:val="20"/>
                <w:szCs w:val="20"/>
                <w:color w:val="auto"/>
              </w:rPr>
            </w:pPr>
            <w:r>
              <w:rPr>
                <w:rFonts w:ascii="Arial" w:cs="Arial" w:eastAsia="Arial" w:hAnsi="Arial"/>
                <w:sz w:val="18"/>
                <w:szCs w:val="18"/>
                <w:color w:val="auto"/>
                <w:w w:val="92"/>
              </w:rPr>
              <w:t>Weighted-average lease terms and discount rates were as follows: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1"/>
              </w:rPr>
              <w:t>August 1, 2021</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August 2, 2020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3"/>
          </w:tcPr>
          <w:p>
            <w:pPr>
              <w:ind w:left="360"/>
              <w:spacing w:after="0"/>
              <w:rPr>
                <w:sz w:val="20"/>
                <w:szCs w:val="20"/>
                <w:color w:val="auto"/>
              </w:rPr>
            </w:pPr>
            <w:r>
              <w:rPr>
                <w:rFonts w:ascii="Arial" w:cs="Arial" w:eastAsia="Arial" w:hAnsi="Arial"/>
                <w:sz w:val="14"/>
                <w:szCs w:val="14"/>
                <w:b w:val="1"/>
                <w:bCs w:val="1"/>
                <w:color w:val="auto"/>
              </w:rPr>
              <w:t>Operating</w:t>
            </w: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224"/>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term in years</w:t>
            </w:r>
          </w:p>
        </w:tc>
        <w:tc>
          <w:tcPr>
            <w:tcW w:w="4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52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306"/>
        </w:trPr>
        <w:tc>
          <w:tcPr>
            <w:tcW w:w="5280" w:type="dxa"/>
            <w:vAlign w:val="bottom"/>
          </w:tcPr>
          <w:p>
            <w:pPr>
              <w:ind w:left="340"/>
              <w:spacing w:after="0"/>
              <w:rPr>
                <w:sz w:val="20"/>
                <w:szCs w:val="20"/>
                <w:color w:val="auto"/>
              </w:rPr>
            </w:pPr>
            <w:r>
              <w:rPr>
                <w:rFonts w:ascii="Arial" w:cs="Arial" w:eastAsia="Arial" w:hAnsi="Arial"/>
                <w:sz w:val="18"/>
                <w:szCs w:val="18"/>
                <w:color w:val="auto"/>
              </w:rPr>
              <w:t>Future minimum lease payments are as follows: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center"/>
              <w:ind w:right="33"/>
              <w:spacing w:after="0"/>
              <w:rPr>
                <w:sz w:val="20"/>
                <w:szCs w:val="20"/>
                <w:color w:val="auto"/>
              </w:rPr>
            </w:pPr>
            <w:r>
              <w:rPr>
                <w:rFonts w:ascii="Arial" w:cs="Arial" w:eastAsia="Arial" w:hAnsi="Arial"/>
                <w:sz w:val="14"/>
                <w:szCs w:val="14"/>
                <w:b w:val="1"/>
                <w:bCs w:val="1"/>
                <w:color w:val="auto"/>
                <w:w w:val="91"/>
              </w:rPr>
              <w:t>August 1, 2021</w:t>
            </w:r>
          </w:p>
        </w:tc>
        <w:tc>
          <w:tcPr>
            <w:tcW w:w="0" w:type="dxa"/>
            <w:vAlign w:val="bottom"/>
          </w:tcPr>
          <w:p>
            <w:pPr>
              <w:spacing w:after="0"/>
              <w:rPr>
                <w:sz w:val="1"/>
                <w:szCs w:val="1"/>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Operating</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8"/>
              </w:rPr>
              <w:t>Finance</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undiscounted lease payments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5"/>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5"/>
            <w:vMerge w:val="restart"/>
          </w:tcPr>
          <w:p>
            <w:pPr>
              <w:ind w:left="340"/>
              <w:spacing w:after="0"/>
              <w:rPr>
                <w:sz w:val="20"/>
                <w:szCs w:val="20"/>
                <w:color w:val="auto"/>
              </w:rPr>
            </w:pPr>
            <w:r>
              <w:rPr>
                <w:rFonts w:ascii="Arial" w:cs="Arial" w:eastAsia="Arial" w:hAnsi="Arial"/>
                <w:sz w:val="18"/>
                <w:szCs w:val="18"/>
                <w:color w:val="auto"/>
              </w:rPr>
              <w:t>The following table summarizes cash flow and other information related to leases:</w:t>
            </w: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75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ROU assets divested with businesses sold: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derecognized upon adoption: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Arial" w:cs="Arial" w:eastAsia="Arial" w:hAnsi="Arial"/>
                <w:sz w:val="18"/>
                <w:szCs w:val="18"/>
                <w:color w:val="auto"/>
              </w:rPr>
              <w:t>Build-to-suit lease commitment</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 Taxes on Earnings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on earnings from continuing operations consists of the following:</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Currently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20" w:type="dxa"/>
            <w:vAlign w:val="bottom"/>
            <w:tcBorders>
              <w:bottom w:val="single" w:sz="8" w:color="CCEEFF"/>
            </w:tcBorders>
          </w:tcPr>
          <w:p>
            <w:pPr>
              <w:spacing w:after="0"/>
              <w:rPr>
                <w:sz w:val="24"/>
                <w:szCs w:val="24"/>
                <w:color w:val="auto"/>
              </w:rPr>
            </w:pPr>
          </w:p>
        </w:tc>
        <w:tc>
          <w:tcPr>
            <w:tcW w:w="6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r>
      <w:tr>
        <w:trPr>
          <w:trHeight w:val="215"/>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9"/>
                <w:szCs w:val="19"/>
                <w:color w:val="auto"/>
              </w:rPr>
            </w:pPr>
          </w:p>
        </w:tc>
      </w:tr>
      <w:tr>
        <w:trPr>
          <w:trHeight w:val="229"/>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effective income tax rate on continuing operations to the U.S. federal statutory income tax rate: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2.2</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of international items</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Tax Cuts and Jobs Act - transition tax</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 impact on deferred taxes</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Legal entity reorganization</w:t>
            </w: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on the sale of the Plum baby food and snacks business</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Capital loss valuation allowance on the sale of the Plum baby food and snacks business</w:t>
            </w: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on sale of the European chips business</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(0.5)</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2021, we recorded a $19 deferred tax charge in connection with a legal entity reorganization as part of the continued integration of Snyder's-Lance.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Deferred tax liabilities and assets of continuing operations and discontinued operations are comprised of the following:</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Pension</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 liabilities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and compensation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Pension benefits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Capital loss carryforwards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deferred tax assets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asset valuation allowance</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 net of valuation allowance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1"/>
        </w:trPr>
        <w:tc>
          <w:tcPr>
            <w:tcW w:w="8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At August 1, 2021, our U.S. and non-U.S. subsidiaries had tax loss carryforwards of approximately $294. Of these carryforwards, $27 may be carried forward indefinitely, and $267 expire between 2022 and 2038, with the majority expiring after 2028. At August 1, 2021, deferred tax asset valuation allowances have been established to offset $113 of these tax loss carryforwards. Additionally, as of August 1, 2021, our U.S. and non-U.S. subsidiaries had capital loss carryforwards of approximately $477, all of which were offset by valuation allowances. The increase in the total capital loss carryforwards in 2021 was primarily due to the sale of the Plum baby food and snacks business.</w:t>
      </w:r>
    </w:p>
    <w:p>
      <w:pPr>
        <w:spacing w:after="0" w:line="5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net change in the deferred tax asset valuation allowance in 2021 was an increase of $20. The increase was primarily due to the sale of the Plum baby food and snacks business. The net change in the deferred tax asset valuation allowance in 2020 was a decrease of $305. The decrease was primarily due to the sale of the Arnott's and other international operations. The net change in the deferred tax asset valuation allowance in 2019 was an increase of $294. The increase was primarily due to the sale of Bolthouse Farms and the pending sale of the Arnott's and other international operations.</w:t>
      </w:r>
    </w:p>
    <w:p>
      <w:pPr>
        <w:spacing w:after="0" w:line="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August 1, 2021, and August 2, 2020, other deferred tax assets included $13 of state tax credit carryforwards related to various states that expire between 2022 and 2031. As of August 1, 2021, and August 2, 2020, deferred tax asset valuation allowances have been established to offset the $13 of state credit carryforwards.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August 1, 2021, we had approximately $11 of undistributed earnings of foreign subsidiaries which are deemed to be permanently reinvested and for which we have not recognized a deferred tax liability. We estimate that the tax liability that might be incurred if permanently reinvested earnings were remitted to the U.S. would not be material. Foreign subsidiary earnings in 2021 are not considered permanently reinvested and we have therefore recognized a deferred tax liability and expense.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activity related to unrecognized tax benefits follows: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Increases related to prior-year tax positions</w:t>
            </w:r>
          </w:p>
        </w:tc>
        <w:tc>
          <w:tcPr>
            <w:tcW w:w="9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related to prior-year tax positions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Increases related to current-year tax positions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Lapse of statute</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 of unrecognized tax benefits that, if recognized, would impact the annual effective tax rate was $18 as of August 1, 2021, and as of August 2, 2020, and $17 as of July 28, 2019. The total amount of unrecognized tax benefits can change due to audit settlements, tax examination activities, statute expirations and the recognition and measurement criteria under accounting for uncertainty in income taxes.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3" w:name="page64"/>
    <w:bookmarkEnd w:id="63"/>
    <w:p>
      <w:pPr>
        <w:jc w:val="both"/>
        <w:ind w:firstLine="324"/>
        <w:spacing w:after="0" w:line="259" w:lineRule="auto"/>
        <w:rPr>
          <w:sz w:val="20"/>
          <w:szCs w:val="20"/>
          <w:color w:val="auto"/>
        </w:rPr>
      </w:pPr>
      <w:r>
        <w:rPr>
          <w:rFonts w:ascii="Arial" w:cs="Arial" w:eastAsia="Arial" w:hAnsi="Arial"/>
          <w:sz w:val="18"/>
          <w:szCs w:val="18"/>
          <w:color w:val="auto"/>
        </w:rPr>
        <w:t>Our accounting policy for interest and penalties attributable to income taxes is to reflect any expense or benefit as a component of our income tax provision. The total amount of interest and penalties recognized in the Consolidated Statements of Earnings were not material in 2021, 2020, and 2019. The total amount of interest and penalties recognized in the Consolidated Balance Sheets in Other liabilities was $4 as of August 1, 2021, and as of August 2, 2020.</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file income tax returns in the U.S. federal jurisdiction and various state and non-U.S. jurisdictions. In the normal course of business, we are subject to examination by taxing authorities, including the U.S. and Canada. With limited exceptions, we have been audited for income tax purposes in the U.S. through 2020 and in Canada through 2016. In addition, several state income tax examinations are in progress for the years 2015 to 2019.</w:t>
      </w:r>
    </w:p>
    <w:p>
      <w:pPr>
        <w:spacing w:after="0" w:line="40" w:lineRule="exact"/>
        <w:rPr>
          <w:sz w:val="20"/>
          <w:szCs w:val="20"/>
          <w:color w:val="auto"/>
        </w:rPr>
      </w:pPr>
    </w:p>
    <w:p>
      <w:pPr>
        <w:ind w:left="340" w:right="7460" w:hanging="332"/>
        <w:spacing w:after="0" w:line="366" w:lineRule="auto"/>
        <w:tabs>
          <w:tab w:leader="none" w:pos="286"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Notes</w:t>
            </w: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tcPr>
          <w:p>
            <w:pPr>
              <w:ind w:left="220"/>
              <w:spacing w:after="0"/>
              <w:rPr>
                <w:sz w:val="20"/>
                <w:szCs w:val="20"/>
                <w:color w:val="auto"/>
              </w:rPr>
            </w:pPr>
            <w:r>
              <w:rPr>
                <w:rFonts w:ascii="Arial" w:cs="Arial" w:eastAsia="Arial" w:hAnsi="Arial"/>
                <w:sz w:val="18"/>
                <w:szCs w:val="18"/>
                <w:color w:val="auto"/>
              </w:rPr>
              <w:t>Total short-term borrowings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r>
      <w:tr>
        <w:trPr>
          <w:trHeight w:val="21"/>
        </w:trPr>
        <w:tc>
          <w:tcPr>
            <w:tcW w:w="8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The weighted-average interest rate of commercial paper, which consisted of U.S. borrowings, was 0.22% as of August 1, 2021, and 2.10% as of August 2, 2020.</w:t>
      </w:r>
    </w:p>
    <w:p>
      <w:pPr>
        <w:spacing w:after="0" w:line="5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August 1, 2021, we issued $36 of standby letters of credit. On November 2, 2020, we entered into a committed revolving credit facility totaling $1,850 that matures on November 2, 2023. This facility remained unused at August 1, 2021, except for $1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In March 2020, we borrowed $300 under our previous revolving credit facility and on May 1, 2020, we repaid the borrowings.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color w:val="auto"/>
        </w:rPr>
        <w:t>Long-term debt consists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of</w:t>
            </w: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Pr>
          <w:p>
            <w:pPr>
              <w:spacing w:after="0"/>
              <w:rPr>
                <w:sz w:val="14"/>
                <w:szCs w:val="14"/>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2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Variable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Debentures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4.15%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2043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2050</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3.125%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Principal amounts of long-term debt mature as follows: $1,025 in 2023; $5 in 2024; $1,152 in 2025; $3 in 2026; and a total of $2,863 in periods thereafter.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January 22, 2020, we completed the redemption of all $500 outstanding aggregate principal amount of our 4.25% Senior Notes due 2021. On January 24, 2020, we settled tender offers to purchase $1,200 in aggregate principal amount of certain senior unsecured debt, comprising $329 of 3.30% Senior Notes due 2021, $634 of 3.65% Senior Notes due 2023, and $237 of 3.80% Senior Notes due 2043. The consideration for the redemption and the tender offers was $1,765, including $65 of premium. We recognized a loss of $75 (including $65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2021, we repaid our 3.30% $321 notes and floating rate $400 notes, and in May 2021, we repaid our 8.875% $200 notes.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we also repaid our $499 Senior Term Loan due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24, 2020, we issued senior notes in an aggregate principal amount of $1,000, consisting of $500 aggregate principal amount of notes bearing interest at a fixed rate of 2.375% per annum, due April 24, 2030, and $500 aggregate principal amount of notes bearing interest at a fixed rate of 3.125% per annum, due April 24, 2050. On May 1, 2020, we used $300 of the net proceeds to repay $300 of borrowings outstanding under a revolving credit facility. The 2.375% Senior Notes due 2030 and the 3.125% Senior Notes due 2050 may each be redeemed at the applicable redemption price, in whole or in part, at our option at any time and from time to time prior to January 24, 2030, and October 24, 2049, respectively. Interest on each of the notes is due semi-annually on April 24 and October 24, commencing on October 24, 2020. The notes contain customary covenants and events of default. If a change of control triggering event occurs, we will be required to offer to purchase the notes at a purchase price equal to 101% of the principal amount plus accrued and unpaid interest, if any, to the purchase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August 1, 2021, or August 2, 2020.</w:t>
      </w:r>
    </w:p>
    <w:p>
      <w:pPr>
        <w:spacing w:after="0" w:line="65"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6"/>
          <w:szCs w:val="16"/>
          <w:color w:val="auto"/>
        </w:rPr>
        <w:t>We are also exposed to credit risk from our customers. During 2021, our largest customer accounted for approximately 21% of consolidated net sales from continuing operations. Our five largest customers accounted for approximately 46% of our consolidated net sales from continuing operations in 2021.</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exposed to foreign currency exchange risk related to third-party transactions and intercompany transactions, including intercompany debt. Principal currencies hedged include the Canadian dollar and, prior to the sale of Arnott's and other international operations, the Australian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$134 at August 1, 2021, and $164 at August 2, 2020.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$13 at August 1, 2021, and $19 at August 2,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Changes in the fair value on the portion of the derivative included in the assessment of hedge effectiveness of a fair-value hedge, along with the gain or loss on the underlying hedged asset or liability, are recorded in current-period earnings.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The change in fair value on undesignated instruments is recorded in Interest expense. There were no interest rate swaps or treasury rate lock contracts outstanding as of August 1, 2021, or August 2,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aluminum, cocoa, soybean meal, corn and butter. Commodity futures, options, and swap contracts are either designated as cash-flow hedging instruments or are undesignated. We hedge a portion of commodity requirements for periods typically up to 18 months. The notional amount of commodity contracts designated as cash flow hedges was $18 as of August 1, 2021. There were no commodity contracts designated as cash flow hedges as of August 2, 2020.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$190 at August 1, 2021, and $137 at August 2, 2020. The change in fair value on undesignated instruments is recorded in Cost of products sold.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6" w:name="page67"/>
    <w:bookmarkEnd w:id="66"/>
    <w:p>
      <w:pPr>
        <w:jc w:val="both"/>
        <w:ind w:firstLine="324"/>
        <w:spacing w:after="0" w:line="241" w:lineRule="auto"/>
        <w:rPr>
          <w:sz w:val="20"/>
          <w:szCs w:val="20"/>
          <w:color w:val="auto"/>
        </w:rPr>
      </w:pPr>
      <w:r>
        <w:rPr>
          <w:rFonts w:ascii="Arial" w:cs="Arial" w:eastAsia="Arial" w:hAnsi="Arial"/>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$38 as of August 1, 2021, and $34 as of August 2, 2020. The change in fair value on the embedded derivative is recorded in Cost of products sold.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As of June 2021, we no longer hedge our exposure linked to the total return of our capital stock. These contracts were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August 1, 2021, and August 2, 2020, were $29 and $22, respectively.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 of derivative instruments on a gross basis as recorded in the Consolidated Balance Sheets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 2021, and August 2,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3"/>
          </w:tcPr>
          <w:p>
            <w:pPr>
              <w:ind w:left="120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15"/>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0" w:type="dxa"/>
            <w:vAlign w:val="bottom"/>
            <w:tcBorders>
              <w:top w:val="single" w:sz="8" w:color="auto"/>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 exchange forward contracts</w:t>
            </w:r>
          </w:p>
        </w:tc>
        <w:tc>
          <w:tcPr>
            <w:tcW w:w="43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0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compensation derivative contracts</w:t>
            </w:r>
          </w:p>
        </w:tc>
        <w:tc>
          <w:tcPr>
            <w:tcW w:w="43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asset derivatives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3"/>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4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Commodity derivative contracts</w:t>
            </w:r>
          </w:p>
        </w:tc>
        <w:tc>
          <w:tcPr>
            <w:tcW w:w="4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August 1, 2021, and August 2, 2020, would be adjusted as detailed in the following table: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7" w:name="page68"/>
    <w:bookmarkEnd w:id="67"/>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1"/>
                <w:szCs w:val="11"/>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 cash margin liability balance of $14 at August 1, 2021, and an asset balance of $8 at August 2, 2020, were included in Accrued liabilities and Other current assets, respectively, in the Consolidated Balance Sheets.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years ended August 1, 2021, August 2, 2020, and July 28, 2019 in other comprehensive income (loss) (OCI) and the Consolidated Statements of Earnings: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6"/>
          </w:tcPr>
          <w:p>
            <w:pPr>
              <w:jc w:val="center"/>
              <w:ind w:left="434"/>
              <w:spacing w:after="0"/>
              <w:rPr>
                <w:sz w:val="20"/>
                <w:szCs w:val="20"/>
                <w:color w:val="auto"/>
              </w:rPr>
            </w:pPr>
            <w:r>
              <w:rPr>
                <w:rFonts w:ascii="Arial" w:cs="Arial" w:eastAsia="Arial" w:hAnsi="Arial"/>
                <w:sz w:val="14"/>
                <w:szCs w:val="14"/>
                <w:b w:val="1"/>
                <w:bCs w:val="1"/>
                <w:color w:val="auto"/>
                <w:w w:val="92"/>
              </w:rPr>
              <w:t>Total Cash-Flow Hedge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OCI Activity</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OCI derivative gain (loss) at beginning of year</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derivative contracts</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 of loss (gain) reclassified from OCI to earnings:</w:t>
            </w:r>
          </w:p>
        </w:tc>
        <w:tc>
          <w:tcPr>
            <w:tcW w:w="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Location in Earnings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top w:val="single" w:sz="8" w:color="CCEEFF"/>
            </w:tcBorders>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Cost of products sold</w:t>
            </w:r>
          </w:p>
        </w:tc>
        <w:tc>
          <w:tcPr>
            <w:tcW w:w="1180" w:type="dxa"/>
            <w:vAlign w:val="bottom"/>
            <w:tcBorders>
              <w:top w:val="single" w:sz="8" w:color="CCEEFF"/>
            </w:tcBorders>
            <w:gridSpan w:val="2"/>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line="176" w:lineRule="exact"/>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5"/>
                <w:szCs w:val="15"/>
                <w:color w:val="auto"/>
              </w:rPr>
            </w:pPr>
          </w:p>
        </w:tc>
        <w:tc>
          <w:tcPr>
            <w:tcW w:w="2800" w:type="dxa"/>
            <w:vAlign w:val="bottom"/>
            <w:gridSpan w:val="3"/>
          </w:tcPr>
          <w:p>
            <w:pPr>
              <w:spacing w:after="0" w:line="176" w:lineRule="exact"/>
              <w:rPr>
                <w:sz w:val="20"/>
                <w:szCs w:val="20"/>
                <w:color w:val="auto"/>
              </w:rPr>
            </w:pPr>
            <w:r>
              <w:rPr>
                <w:rFonts w:ascii="Arial" w:cs="Arial" w:eastAsia="Arial" w:hAnsi="Arial"/>
                <w:sz w:val="18"/>
                <w:szCs w:val="18"/>
                <w:color w:val="auto"/>
              </w:rPr>
              <w:t>Earnings (loss) from</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OCI derivative gain (loss) at end of year</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$1.</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shows the total amounts of line items presented in the Consolidated Statements of Earnings for the years ended 2021, 2020, and 2019 in which the effects of derivative instruments designated as cash-flow hedges are recorded and the total effect of hedge activity on these line items are as follows: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1"/>
                <w:szCs w:val="11"/>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Earnings (loss)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Earnings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Earnings (loss)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1"/>
                <w:szCs w:val="11"/>
                <w:color w:val="auto"/>
              </w:rPr>
            </w:pPr>
          </w:p>
        </w:tc>
        <w:tc>
          <w:tcPr>
            <w:tcW w:w="9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products</w:t>
            </w:r>
          </w:p>
        </w:tc>
        <w:tc>
          <w:tcPr>
            <w:tcW w:w="12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6"/>
              </w:rPr>
              <w:t>expenses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discontinued</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products</w:t>
            </w: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discontinued</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products</w:t>
            </w: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1"/>
              </w:rPr>
              <w:t>discontinued</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sold</w:t>
            </w:r>
          </w:p>
        </w:tc>
        <w:tc>
          <w:tcPr>
            <w:tcW w:w="120" w:type="dxa"/>
            <w:vAlign w:val="bottom"/>
          </w:tcPr>
          <w:p>
            <w:pPr>
              <w:spacing w:after="0"/>
              <w:rPr>
                <w:sz w:val="16"/>
                <w:szCs w:val="16"/>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operations</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sold</w:t>
            </w:r>
          </w:p>
        </w:tc>
        <w:tc>
          <w:tcPr>
            <w:tcW w:w="12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operations</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sold</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170"/>
        </w:trPr>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Consolidated</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Statements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5,665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w w:val="90"/>
              </w:rPr>
              <w:t>(6)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Loss (gain) on cash-</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flow hedges:</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Amount of loss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(gain) reclassified</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840" w:type="dxa"/>
            <w:vAlign w:val="bottom"/>
            <w:gridSpan w:val="2"/>
          </w:tcPr>
          <w:p>
            <w:pPr>
              <w:ind w:left="140"/>
              <w:spacing w:after="0"/>
              <w:rPr>
                <w:sz w:val="20"/>
                <w:szCs w:val="20"/>
                <w:color w:val="auto"/>
              </w:rPr>
            </w:pPr>
            <w:r>
              <w:rPr>
                <w:rFonts w:ascii="Arial" w:cs="Arial" w:eastAsia="Arial" w:hAnsi="Arial"/>
                <w:sz w:val="18"/>
                <w:szCs w:val="18"/>
                <w:color w:val="auto"/>
              </w:rPr>
              <w:t>from OCI to earnings</w:t>
            </w: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Amount excluded</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from effectiveness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testing recognized in</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earnings using an</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approach</w:t>
            </w:r>
          </w:p>
        </w:tc>
        <w:tc>
          <w:tcPr>
            <w:tcW w:w="10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effects of our derivative instruments not designated as hedges in the Consolidated Statements of Earnings: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7"/>
          </w:tcPr>
          <w:p>
            <w:pPr>
              <w:jc w:val="center"/>
              <w:ind w:right="72"/>
              <w:spacing w:after="0"/>
              <w:rPr>
                <w:sz w:val="20"/>
                <w:szCs w:val="20"/>
                <w:color w:val="auto"/>
              </w:rPr>
            </w:pPr>
            <w:r>
              <w:rPr>
                <w:rFonts w:ascii="Arial" w:cs="Arial" w:eastAsia="Arial" w:hAnsi="Arial"/>
                <w:sz w:val="14"/>
                <w:szCs w:val="14"/>
                <w:b w:val="1"/>
                <w:bCs w:val="1"/>
                <w:color w:val="auto"/>
                <w:w w:val="92"/>
              </w:rPr>
              <w:t>Amount of Loss (Gain) Recognized in Earnings on</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Derivatives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3240" w:type="dxa"/>
            <w:vAlign w:val="bottom"/>
            <w:gridSpan w:val="2"/>
          </w:tcPr>
          <w:p>
            <w:pPr>
              <w:ind w:left="840"/>
              <w:spacing w:after="0" w:line="118" w:lineRule="exact"/>
              <w:rPr>
                <w:sz w:val="20"/>
                <w:szCs w:val="20"/>
                <w:color w:val="auto"/>
              </w:rPr>
            </w:pPr>
            <w:r>
              <w:rPr>
                <w:rFonts w:ascii="Arial" w:cs="Arial" w:eastAsia="Arial" w:hAnsi="Arial"/>
                <w:sz w:val="13"/>
                <w:szCs w:val="13"/>
                <w:b w:val="1"/>
                <w:bCs w:val="1"/>
                <w:color w:val="auto"/>
              </w:rPr>
              <w:t>Location of Loss (Gain)</w:t>
            </w:r>
          </w:p>
        </w:tc>
        <w:tc>
          <w:tcPr>
            <w:tcW w:w="160" w:type="dxa"/>
            <w:vAlign w:val="bottom"/>
          </w:tcPr>
          <w:p>
            <w:pPr>
              <w:spacing w:after="0"/>
              <w:rPr>
                <w:sz w:val="10"/>
                <w:szCs w:val="10"/>
                <w:color w:val="auto"/>
              </w:rPr>
            </w:pPr>
          </w:p>
        </w:tc>
        <w:tc>
          <w:tcPr>
            <w:tcW w:w="9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4420" w:type="dxa"/>
            <w:vAlign w:val="bottom"/>
            <w:gridSpan w:val="2"/>
            <w:vMerge w:val="continue"/>
          </w:tcPr>
          <w:p>
            <w:pPr>
              <w:spacing w:after="0"/>
              <w:rPr>
                <w:sz w:val="16"/>
                <w:szCs w:val="16"/>
                <w:color w:val="auto"/>
              </w:rPr>
            </w:pPr>
          </w:p>
        </w:tc>
        <w:tc>
          <w:tcPr>
            <w:tcW w:w="3240" w:type="dxa"/>
            <w:vAlign w:val="bottom"/>
            <w:gridSpan w:val="2"/>
          </w:tcPr>
          <w:p>
            <w:pPr>
              <w:ind w:left="840"/>
              <w:spacing w:after="0"/>
              <w:rPr>
                <w:sz w:val="20"/>
                <w:szCs w:val="20"/>
                <w:color w:val="auto"/>
              </w:rPr>
            </w:pPr>
            <w:r>
              <w:rPr>
                <w:rFonts w:ascii="Arial" w:cs="Arial" w:eastAsia="Arial" w:hAnsi="Arial"/>
                <w:sz w:val="14"/>
                <w:szCs w:val="14"/>
                <w:b w:val="1"/>
                <w:bCs w:val="1"/>
                <w:color w:val="auto"/>
              </w:rPr>
              <w:t>Recognized in Earnings</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Foreign exchange forward contracts</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Other expenses / (income)</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 contracts</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4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Commodity derivative contracts</w:t>
            </w:r>
          </w:p>
        </w:tc>
        <w:tc>
          <w:tcPr>
            <w:tcW w:w="3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Earnings (loss) from discontinued</w:t>
            </w:r>
          </w:p>
        </w:tc>
        <w:tc>
          <w:tcPr>
            <w:tcW w:w="16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Treasury rate lock contracts</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Entity</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we agreed to make a capital commitment subject to certain qualifications of up to $125 to Acre, a limited partnership formed to make venture capital investments in innovative new companies in food and food-related industries. Acre was managed by its general partner, Acre Ventures GP, LLC, which was independent of us. We were the sole limited partner of Acre and owned a 99.8% interest. Acre was a VIE. We entered into an agreement to sell our interest in Acre on April 26, 2020, and completed the sale on May 8, 2020, for $30 resulting in a loss of $45 recognized in the third quarter of 2020 as a result of the pending sale. We consolidated Acre and accounted for the third party ownership as a noncontrolling interest. Through the date of the sale, we funded $86 of the capital commitment.</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Changes in the fair values of investments for which the fair value option was elected were included in Other expenses / (income) on the Consolidated Statements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10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3"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9" w:name="page70"/>
    <w:bookmarkEnd w:id="69"/>
    <w:p>
      <w:pPr>
        <w:ind w:left="660" w:right="2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August 1, 2021, and August 2, 2020, consistent with the fair value hierarchy: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12"/>
          </w:tcPr>
          <w:p>
            <w:pPr>
              <w:jc w:val="center"/>
              <w:ind w:left="476"/>
              <w:spacing w:after="0"/>
              <w:rPr>
                <w:sz w:val="20"/>
                <w:szCs w:val="20"/>
                <w:color w:val="auto"/>
              </w:rPr>
            </w:pPr>
            <w:r>
              <w:rPr>
                <w:rFonts w:ascii="Arial" w:cs="Arial" w:eastAsia="Arial" w:hAnsi="Arial"/>
                <w:sz w:val="14"/>
                <w:szCs w:val="14"/>
                <w:b w:val="1"/>
                <w:bCs w:val="1"/>
                <w:color w:val="auto"/>
                <w:w w:val="93"/>
              </w:rPr>
              <w:t>Fair Value Measurements at</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11"/>
          </w:tcPr>
          <w:p>
            <w:pPr>
              <w:jc w:val="center"/>
              <w:ind w:left="496"/>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8"/>
            <w:vMerge w:val="restart"/>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August 1, 2021 Using</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8"/>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6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tcPr>
          <w:p>
            <w:pPr>
              <w:jc w:val="center"/>
              <w:ind w:right="260"/>
              <w:spacing w:after="0" w:line="107" w:lineRule="exact"/>
              <w:rPr>
                <w:sz w:val="20"/>
                <w:szCs w:val="20"/>
                <w:color w:val="auto"/>
              </w:rPr>
            </w:pPr>
            <w:r>
              <w:rPr>
                <w:rFonts w:ascii="Arial" w:cs="Arial" w:eastAsia="Arial" w:hAnsi="Arial"/>
                <w:sz w:val="12"/>
                <w:szCs w:val="12"/>
                <w:b w:val="1"/>
                <w:bCs w:val="1"/>
                <w:color w:val="auto"/>
              </w:rPr>
              <w:t>August 1,</w:t>
            </w: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9"/>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300"/>
              <w:spacing w:after="0" w:line="107" w:lineRule="exact"/>
              <w:rPr>
                <w:sz w:val="20"/>
                <w:szCs w:val="20"/>
                <w:color w:val="auto"/>
              </w:rPr>
            </w:pPr>
            <w:r>
              <w:rPr>
                <w:rFonts w:ascii="Arial" w:cs="Arial" w:eastAsia="Arial" w:hAnsi="Arial"/>
                <w:sz w:val="12"/>
                <w:szCs w:val="12"/>
                <w:b w:val="1"/>
                <w:bCs w:val="1"/>
                <w:color w:val="auto"/>
              </w:rPr>
              <w:t>August 2,</w:t>
            </w: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9"/>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1"/>
        </w:trPr>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1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Foreign exchange</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5"/>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5"/>
            <w:vMerge w:val="restart"/>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Commodity derivative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compensation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w w:val="93"/>
              </w:rPr>
              <w:t>derivative contracts</w:t>
            </w:r>
            <w:r>
              <w:rPr>
                <w:rFonts w:ascii="Arial" w:cs="Arial" w:eastAsia="Arial" w:hAnsi="Arial"/>
                <w:sz w:val="23"/>
                <w:szCs w:val="23"/>
                <w:color w:val="auto"/>
                <w:w w:val="93"/>
                <w:vertAlign w:val="superscript"/>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compensation</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88"/>
              </w:rPr>
              <w:t>Total assets at fair value</w:t>
            </w: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12"/>
          </w:tcPr>
          <w:p>
            <w:pPr>
              <w:jc w:val="center"/>
              <w:ind w:left="556"/>
              <w:spacing w:after="0"/>
              <w:rPr>
                <w:sz w:val="20"/>
                <w:szCs w:val="20"/>
                <w:color w:val="auto"/>
              </w:rPr>
            </w:pPr>
            <w:r>
              <w:rPr>
                <w:rFonts w:ascii="Arial" w:cs="Arial" w:eastAsia="Arial" w:hAnsi="Arial"/>
                <w:sz w:val="14"/>
                <w:szCs w:val="14"/>
                <w:b w:val="1"/>
                <w:bCs w:val="1"/>
                <w:color w:val="auto"/>
                <w:w w:val="93"/>
              </w:rPr>
              <w:t>Fair Value Measurements at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1"/>
          </w:tcPr>
          <w:p>
            <w:pPr>
              <w:jc w:val="center"/>
              <w:ind w:left="536"/>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gridSpan w:val="9"/>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August 1, 2021 Using</w:t>
            </w: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gridSpan w:val="7"/>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3"/>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gridSpan w:val="9"/>
            <w:vMerge w:val="continue"/>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10"/>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 Hierarchy</w:t>
            </w: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9"/>
            <w:vMerge w:val="restart"/>
          </w:tcPr>
          <w:p>
            <w:pPr>
              <w:jc w:val="center"/>
              <w:ind w:right="138"/>
              <w:spacing w:after="0"/>
              <w:rPr>
                <w:sz w:val="20"/>
                <w:szCs w:val="20"/>
                <w:color w:val="auto"/>
              </w:rPr>
            </w:pPr>
            <w:r>
              <w:rPr>
                <w:rFonts w:ascii="Arial" w:cs="Arial" w:eastAsia="Arial" w:hAnsi="Arial"/>
                <w:sz w:val="14"/>
                <w:szCs w:val="14"/>
                <w:b w:val="1"/>
                <w:bCs w:val="1"/>
                <w:color w:val="auto"/>
                <w:w w:val="95"/>
              </w:rPr>
              <w:t>Fair Value Hierarchy</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tcPr>
          <w:p>
            <w:pPr>
              <w:jc w:val="center"/>
              <w:ind w:right="220"/>
              <w:spacing w:after="0" w:line="107" w:lineRule="exact"/>
              <w:rPr>
                <w:sz w:val="20"/>
                <w:szCs w:val="20"/>
                <w:color w:val="auto"/>
              </w:rPr>
            </w:pPr>
            <w:r>
              <w:rPr>
                <w:rFonts w:ascii="Arial" w:cs="Arial" w:eastAsia="Arial" w:hAnsi="Arial"/>
                <w:sz w:val="12"/>
                <w:szCs w:val="12"/>
                <w:b w:val="1"/>
                <w:bCs w:val="1"/>
                <w:color w:val="auto"/>
              </w:rPr>
              <w:t>August 1,</w:t>
            </w: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10"/>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20"/>
              <w:spacing w:after="0" w:line="107" w:lineRule="exact"/>
              <w:rPr>
                <w:sz w:val="20"/>
                <w:szCs w:val="20"/>
                <w:color w:val="auto"/>
              </w:rPr>
            </w:pPr>
            <w:r>
              <w:rPr>
                <w:rFonts w:ascii="Arial" w:cs="Arial" w:eastAsia="Arial" w:hAnsi="Arial"/>
                <w:sz w:val="12"/>
                <w:szCs w:val="12"/>
                <w:b w:val="1"/>
                <w:bCs w:val="1"/>
                <w:color w:val="auto"/>
              </w:rPr>
              <w:t>August 2,</w:t>
            </w: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9"/>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0" w:type="dxa"/>
            <w:vAlign w:val="bottom"/>
            <w:tcBorders>
              <w:right w:val="single" w:sz="8" w:color="CCEEFF"/>
            </w:tcBorders>
          </w:tcPr>
          <w:p>
            <w:pPr>
              <w:spacing w:after="0"/>
              <w:rPr>
                <w:sz w:val="14"/>
                <w:szCs w:val="14"/>
                <w:color w:val="auto"/>
              </w:rPr>
            </w:pPr>
          </w:p>
        </w:tc>
        <w:tc>
          <w:tcPr>
            <w:tcW w:w="17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5"/>
            <w:vMerge w:val="restart"/>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17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Commodity derivative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compensation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gridSpan w:val="2"/>
            <w:vMerge w:val="restart"/>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6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(4)</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CCEEFF"/>
            </w:tcBorders>
          </w:tcPr>
          <w:p>
            <w:pPr>
              <w:spacing w:after="0"/>
              <w:rPr>
                <w:sz w:val="13"/>
                <w:szCs w:val="13"/>
                <w:color w:val="auto"/>
              </w:rPr>
            </w:pPr>
          </w:p>
        </w:tc>
        <w:tc>
          <w:tcPr>
            <w:tcW w:w="17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liabilities at fair</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6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value</w:t>
            </w:r>
          </w:p>
        </w:tc>
        <w:tc>
          <w:tcPr>
            <w:tcW w:w="1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5"/>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5"/>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3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3"/>
          <w:szCs w:val="23"/>
          <w:color w:val="auto"/>
          <w:vertAlign w:val="superscript"/>
        </w:rPr>
      </w:pPr>
    </w:p>
    <w:p>
      <w:pPr>
        <w:jc w:val="both"/>
        <w:ind w:left="340" w:hanging="332"/>
        <w:spacing w:after="0" w:line="242" w:lineRule="auto"/>
        <w:tabs>
          <w:tab w:leader="none" w:pos="328"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0" w:name="page71"/>
    <w:bookmarkEnd w:id="70"/>
    <w:p>
      <w:pPr>
        <w:ind w:left="340"/>
        <w:spacing w:after="0"/>
        <w:rPr>
          <w:sz w:val="20"/>
          <w:szCs w:val="20"/>
          <w:color w:val="auto"/>
        </w:rPr>
      </w:pPr>
      <w:r>
        <w:rPr>
          <w:rFonts w:ascii="Arial" w:cs="Arial" w:eastAsia="Arial" w:hAnsi="Arial"/>
          <w:sz w:val="17"/>
          <w:szCs w:val="17"/>
          <w:color w:val="auto"/>
        </w:rPr>
        <w:t>The following table summarizes the changes in fair value of Level 3 investments for the years ended August 1, 2021, and August 2,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9"/>
                <w:szCs w:val="9"/>
                <w:b w:val="1"/>
                <w:bCs w:val="1"/>
                <w:color w:val="auto"/>
              </w:rPr>
              <w:t>(1)</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Gains (losses) recognized in earnings</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Sales</w:t>
            </w:r>
          </w:p>
        </w:tc>
        <w:tc>
          <w:tcPr>
            <w:tcW w:w="9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Fair value at end of year</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8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__________________________________</w:t>
      </w:r>
    </w:p>
    <w:p>
      <w:pPr>
        <w:spacing w:after="0" w:line="109" w:lineRule="exact"/>
        <w:rPr>
          <w:sz w:val="20"/>
          <w:szCs w:val="20"/>
          <w:color w:val="auto"/>
        </w:rPr>
      </w:pPr>
    </w:p>
    <w:p>
      <w:pPr>
        <w:jc w:val="both"/>
        <w:ind w:left="340" w:hanging="332"/>
        <w:spacing w:after="0" w:line="257" w:lineRule="auto"/>
        <w:tabs>
          <w:tab w:leader="none" w:pos="328" w:val="left"/>
        </w:tabs>
        <w:numPr>
          <w:ilvl w:val="0"/>
          <w:numId w:val="52"/>
        </w:numPr>
        <w:rPr>
          <w:rFonts w:ascii="Arial" w:cs="Arial" w:eastAsia="Arial" w:hAnsi="Arial"/>
          <w:sz w:val="22"/>
          <w:szCs w:val="22"/>
          <w:color w:val="auto"/>
          <w:vertAlign w:val="superscript"/>
        </w:rPr>
      </w:pPr>
      <w:r>
        <w:rPr>
          <w:rFonts w:ascii="Arial" w:cs="Arial" w:eastAsia="Arial" w:hAnsi="Arial"/>
          <w:sz w:val="17"/>
          <w:szCs w:val="17"/>
          <w:color w:val="auto"/>
        </w:rPr>
        <w:t>Primarily represented investments in equity securities that were not readily marketable and were accounted for under the fair value option. The investments were funded by Acre, a limited partnership in which we were the sole limited partner. Fair value was based on analyzing recent transactions and transactions of comparable companies, and the discounted cash flow method. In addition, allocation methods, including the option pricing method, were used in distributing fair value among various equity holders according to rights and preferences. We entered into an agreement to sell our interest in Acre on April 26, 2020, and completed the sale on May 8, 2020. See Note 14 for additional information.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cash equivalents at August 1, 2021, and $157 at August 2, 2020. Cash equivalents represent fair value as these highly liquid investments have an original maturity of three months or less. Fair value of cash equivalents is based on Level 2 inputs.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short- and long-term debt was $5,613 at August 1, 2021, and $6,995 at August 2, 2020. The carrying value was $5,058 at August 1, 2021, and $6,196 at August 2, 2020. The fair value of long-term debt is principally estimated using Level 2 inputs based on quoted market prices or pricing models using current market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2017, the Board authorized a strategic share repurchase program to purchase up to $1,500 (March 2017 program). The March 2017 program had no expiration date, but could be suspended or discontinued at any time. In addition to the March 2017 program, we had a separate Board authorization to purchase shares to offset the impact of dilution from shares issued under our stock compensation programs (anti-dilutive program). We suspended all of our share repurchases, including our anti-dilutive program, as of the second quarter of 2018. Approximately $1,296 remained available under the March 2017 program as of August 1, 2021.</w:t>
      </w:r>
    </w:p>
    <w:p>
      <w:pPr>
        <w:spacing w:after="0" w:line="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2021, the Board authorized a new anti-dilutive share repurchase program of up to $250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2021, we repurchased 1 million shares at a cost of $36. Approximately $214 remained available under the June 2021 program as of August 1, 2021.</w:t>
      </w:r>
    </w:p>
    <w:p>
      <w:pPr>
        <w:spacing w:after="0" w:line="3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September 2021, the Board approved a new strategic share repurchase program of up to $500 (September 2021 program). The September 2021 program has no expiration date, but may be suspended or discontinued at any time. Repurchases under the September 2021 program may be made in open-market or privately negotiated transactions. The September 2021 program replaces the suspended March 2017 program, which has been cancelled.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2005, shareholders approved the 2005 Long-Term Incentive Plan, which authorized the issuance of 6 million shares to satisfy awards of stock options, stock appreciation rights, unrestricted stock, restricted stock/units (including performance restricted stock) and performance units.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shares that were currently available under the 2005 plan and were incorporated into the 2015 Plan upon approval by shareholders.</w:t>
      </w:r>
    </w:p>
    <w:p>
      <w:pPr>
        <w:spacing w:after="0" w:line="9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after the relevant three-year performance period, a recipient of TSR performance restricted stock/units may earn a total award ranging from 0% to 200% of the initial grant. Awards of EPS performance restricted stock/units were earned based upon our achievement of annual earnings per share goals and vested over the relevant three-year period. During the three-year vesting period, a recipient of EPS performance restricted stock/units earned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will be earned based upon the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is averaged at the end of the three-year period to determine the number of underlying units that will vest at the end of the three years. A recipient of FCF performance restricted stock units may earn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 options are granted on a selective basis under the Long-Term Incentive Plans. The term of a stock option granted under these plans may not exceed ten years from the date of grant. The option price may not be less than the fair market value of a share of common stock on the date of the grant. Options granted under these plans generally vest ratably over a three-year period. In 2019, we also granted certain options that vest at the end of a three-year period. We have not issued any stock options in 2021 or 2020.</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issued time-lapse restricted stock units, unrestricted stock and TSR performance restricted stock units. We last issued FCF performance restricted stock units in 2019, EPS performance restricted stock units in 2018, strategic performance restricted stock units in 2014 and special performance restricted units in 2015.</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4"/>
        </w:trPr>
        <w:tc>
          <w:tcPr>
            <w:tcW w:w="746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840" w:type="dxa"/>
            <w:vAlign w:val="bottom"/>
          </w:tcPr>
          <w:p>
            <w:pPr>
              <w:jc w:val="right"/>
              <w:ind w:right="65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pre-tax stock-based compensation expense and tax-related benefits recognized in Earnings (loss) from discontinued operations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43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4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69"/>
        </w:trPr>
        <w:tc>
          <w:tcPr>
            <w:tcW w:w="4520" w:type="dxa"/>
            <w:vAlign w:val="bottom"/>
          </w:tcPr>
          <w:p>
            <w:pPr>
              <w:spacing w:after="0"/>
              <w:rPr>
                <w:sz w:val="24"/>
                <w:szCs w:val="24"/>
                <w:color w:val="auto"/>
              </w:rPr>
            </w:pPr>
          </w:p>
        </w:tc>
        <w:tc>
          <w:tcPr>
            <w:tcW w:w="4360" w:type="dxa"/>
            <w:vAlign w:val="bottom"/>
          </w:tcPr>
          <w:p>
            <w:pPr>
              <w:jc w:val="right"/>
              <w:ind w:right="307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4520" w:type="dxa"/>
            <w:vAlign w:val="bottom"/>
            <w:tcBorders>
              <w:bottom w:val="single" w:sz="8" w:color="9A9A9A"/>
            </w:tcBorders>
          </w:tcPr>
          <w:p>
            <w:pPr>
              <w:spacing w:after="0"/>
              <w:rPr>
                <w:sz w:val="18"/>
                <w:szCs w:val="18"/>
                <w:color w:val="auto"/>
              </w:rPr>
            </w:pPr>
          </w:p>
        </w:tc>
        <w:tc>
          <w:tcPr>
            <w:tcW w:w="4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color w:val="auto"/>
        </w:rPr>
        <w:t>The following table summarizes stock option activity as of August 1, 2021:</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7"/>
              <w:spacing w:after="0" w:line="135"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1040" w:type="dxa"/>
            <w:vAlign w:val="bottom"/>
          </w:tcPr>
          <w:p>
            <w:pPr>
              <w:jc w:val="center"/>
              <w:ind w:left="397"/>
              <w:spacing w:after="0" w:line="135"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2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397"/>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126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4"/>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2,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45.42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August 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August 1,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48.36</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total intrinsic value of options exercised during 2021 was not material. The total intrinsic value of options exercised during 2020 was $2. No options were exercised during 2019.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values for grants in 2019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2.79%</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3.84%</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25.28%</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260" w:type="dxa"/>
            <w:vAlign w:val="bottom"/>
          </w:tcPr>
          <w:p>
            <w:pPr>
              <w:ind w:left="300"/>
              <w:spacing w:after="0"/>
              <w:rPr>
                <w:sz w:val="20"/>
                <w:szCs w:val="20"/>
                <w:color w:val="auto"/>
              </w:rPr>
            </w:pPr>
            <w:r>
              <w:rPr>
                <w:rFonts w:ascii="Arial" w:cs="Arial" w:eastAsia="Arial" w:hAnsi="Arial"/>
                <w:sz w:val="18"/>
                <w:szCs w:val="18"/>
                <w:color w:val="auto"/>
              </w:rPr>
              <w:t>6.1 years</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$6.27</w:t>
            </w:r>
          </w:p>
        </w:tc>
      </w:tr>
    </w:tbl>
    <w:p>
      <w:pPr>
        <w:spacing w:after="0" w:line="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August 1, 2021, total remaining unearned compensation related to nonvested stock options was less than $1, which will be amortized over the weighted-average remaining service period of less than 1 year.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August 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32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38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1"/>
              </w:rPr>
              <w:t>(Restricted stock</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2, 2020</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August 1, 2021</w:t>
            </w:r>
          </w:p>
        </w:tc>
        <w:tc>
          <w:tcPr>
            <w:tcW w:w="37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73</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8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3" w:name="page74"/>
    <w:bookmarkEnd w:id="73"/>
    <w:p>
      <w:pPr>
        <w:jc w:val="both"/>
        <w:ind w:firstLine="324"/>
        <w:spacing w:after="0" w:line="269"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and FCF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expensed EPS performance restricted stock units on a graded-vesting basis, except for awards issued to retirement-eligible participants, which we expensed on an accelerated basis. As of November 1, 2020, there were no EPS performance target grants outstanding. We expense FCF performance restricted stock units over the requisite service period of each objective. In 2019, we issued approximately 388 thousand FCF performance restricted stock units. As of November 1, 2020, we have granted all of the issued FCF performance restricted stock units, which are included in the table above. There were 239 thousand FCF performance target grants outstanding at August 1, 2021, with a weighted-average grant date fair value of $44.10. The actual number of EPS performance restricted stock units and FCF performance restricted stock units that vest will depend on actual performance achieved. We estimate expense based on the number of awards expected to vest.</w:t>
      </w:r>
    </w:p>
    <w:p>
      <w:pPr>
        <w:spacing w:after="0" w:line="5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August 1, 2021, total remaining unearned compensation related to nonvested time-lapse restricted stock units and FCF performance restricted units was $30, which will be amortized over the weighted-average remaining service period of 1.6 years. The fair value of restricted stock units vested during 2021, 2020 and 2019 was $38, $41 and $26, respectively. The weighted-average grant-date fair value of the restricted stock units granted during 2020 and 2019 was $46.82 and $36.51, respectively. In the first quarter of 2022, recipients of FCF performance restricted stock units will receive a 167% payout based upon the average of actual performance achieved during a three-year period ended August 1, 2021.</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August 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1"/>
                <w:szCs w:val="11"/>
                <w:color w:val="auto"/>
              </w:rPr>
            </w:pPr>
          </w:p>
        </w:tc>
        <w:tc>
          <w:tcPr>
            <w:tcW w:w="13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7800" w:type="dxa"/>
            <w:vAlign w:val="bottom"/>
          </w:tcPr>
          <w:p>
            <w:pPr>
              <w:spacing w:after="0"/>
              <w:rPr>
                <w:sz w:val="11"/>
                <w:szCs w:val="11"/>
                <w:color w:val="auto"/>
              </w:rPr>
            </w:pPr>
          </w:p>
        </w:tc>
        <w:tc>
          <w:tcPr>
            <w:tcW w:w="1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1"/>
              </w:rPr>
              <w:t>(Restricted stock</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 in thousands)</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2,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August 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Weighted-average assumptions used in the Monte Carlo simulation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0.15%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2.80%</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7"/>
              </w:rPr>
              <w:t>2.85%</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2.95%</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3.79%</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29.99%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24.50%</w:t>
            </w:r>
          </w:p>
        </w:tc>
      </w:tr>
      <w:tr>
        <w:trPr>
          <w:trHeight w:val="234"/>
        </w:trPr>
        <w:tc>
          <w:tcPr>
            <w:tcW w:w="83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3 years</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3 years</w:t>
            </w:r>
          </w:p>
        </w:tc>
        <w:tc>
          <w:tcPr>
            <w:tcW w:w="88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We recognize compensation expense on a straight-line basis over the service period, except for awards issued to retirement eligible participants, which we expense on an accelerated basis. As of August 1, 2021, total remaining unearned compensation related to TSR performance restricted stock units was $25, which will be amortized over the weighted-average remaining service period of 1.6 years. In the first quarter of 2021, recipients of TSR performance restricted stock units earned 50% of the initial grants based upon our TSR ranking in a performance peer group during a three-year period ended July 31, 2020. In the first quarter of 2020, recipients of TSR performance restricted stock units earned 0% of the initial grants based upon our TSR ranking in a performance peer group during a three-year period ended July 26, 2019. In the first quarter of 2019, recipients of TSR performance restricted stock units earned 0% of the initial grants based upon our TSR ranking in a performance peer group during a three-year period ended July 27, 2018. The fair value of TSR performance restricted stock units vested during 2021 was $11. The weighted-average grant-date fair value of the TSR performance restricted stock units granted during 2020 and 2019 was $63.06 and $31.29, respectively. In the first quarter of 2022, recipients of TSR performance restricted stock units will receive a 75% payout based upon our TSR ranking in a performance peer group during a three-year period ended July 30, 2021.</w:t>
      </w:r>
    </w:p>
    <w:p>
      <w:pPr>
        <w:spacing w:after="0" w:line="5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excess tax benefits of $1 in 2021 and 2020 and the excess tax deficiencies of $6 in 2019, on the exercise of stock options and vested restricted stock were presented as cash flows from operating activities. Cash received from the exercise of stock options was $2 and $23 for 2021 and 2020, respectively, and is reflected in cash flows from financing activities in the Consolidated Statements of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4" w:name="page75"/>
    <w:bookmarkEnd w:id="74"/>
    <w:p>
      <w:pPr>
        <w:ind w:right="8420" w:firstLine="8"/>
        <w:spacing w:after="0" w:line="398" w:lineRule="auto"/>
        <w:tabs>
          <w:tab w:leader="none" w:pos="27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Regulatory and Litigation Matters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On January 7, 2019, three purported shareholder class action lawsuits pending in the United States District Court for the District of New Jersey (the Court) were consolidated under the caption, </w:t>
      </w:r>
      <w:r>
        <w:rPr>
          <w:rFonts w:ascii="Arial" w:cs="Arial" w:eastAsia="Arial" w:hAnsi="Arial"/>
          <w:sz w:val="16"/>
          <w:szCs w:val="16"/>
          <w:i w:val="1"/>
          <w:iCs w:val="1"/>
          <w:color w:val="auto"/>
        </w:rPr>
        <w:t>In re Campbell Soup Company Securities Litigation</w:t>
      </w:r>
      <w:r>
        <w:rPr>
          <w:rFonts w:ascii="Arial" w:cs="Arial" w:eastAsia="Arial" w:hAnsi="Arial"/>
          <w:sz w:val="16"/>
          <w:szCs w:val="16"/>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On March 10, 2021 the defendants filed a motion to dismiss the second amended consolidated complaint. We are vigorously defending against the Action.</w:t>
      </w:r>
    </w:p>
    <w:p>
      <w:pPr>
        <w:spacing w:after="0" w:line="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August 1, 2021.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guarantee approximately 4,900 bank loans made to independent contractor distributors by third-party financial institutions for the purchase of distribution routes. The maximum potential amount of the future payments under existing guarantees we could be required to make is $488 as of August 1, 2021. Our guarantees are indirectly secured by the distribution routes. We do not expect that we will be required to make material guarantee payments as a result of defaults on the bank loans guaranteed. The amounts recognized as of August 1, 2021, and August 2, 2020, were not material.</w:t>
      </w:r>
    </w:p>
    <w:p>
      <w:pPr>
        <w:spacing w:after="0" w:line="3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August 1, 2021, and August 2, 2020.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19. Supplemental Financial Statement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Customer accounts receivable</w:t>
            </w:r>
          </w:p>
        </w:tc>
        <w:tc>
          <w:tcPr>
            <w:tcW w:w="940" w:type="dxa"/>
            <w:vAlign w:val="bottom"/>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Subtotal</w:t>
            </w:r>
          </w:p>
        </w:tc>
        <w:tc>
          <w:tcPr>
            <w:tcW w:w="940" w:type="dxa"/>
            <w:vAlign w:val="bottom"/>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04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 containers and supplies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products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Land</w:t>
            </w:r>
          </w:p>
        </w:tc>
        <w:tc>
          <w:tcPr>
            <w:tcW w:w="940" w:type="dxa"/>
            <w:vAlign w:val="bottom"/>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Projects in progress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cost</w:t>
            </w:r>
          </w:p>
        </w:tc>
        <w:tc>
          <w:tcPr>
            <w:tcW w:w="940" w:type="dxa"/>
            <w:vAlign w:val="bottom"/>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5,489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5,285</w:t>
            </w:r>
          </w:p>
        </w:tc>
      </w:tr>
      <w:tr>
        <w:trPr>
          <w:trHeight w:val="230"/>
        </w:trPr>
        <w:tc>
          <w:tcPr>
            <w:tcW w:w="8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Accumulated depreciation</w:t>
            </w:r>
            <w:r>
              <w:rPr>
                <w:rFonts w:ascii="Arial" w:cs="Arial" w:eastAsia="Arial" w:hAnsi="Arial"/>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r>
      <w:tr>
        <w:trPr>
          <w:trHeight w:val="223"/>
        </w:trPr>
        <w:tc>
          <w:tcPr>
            <w:tcW w:w="804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ROU assets, net of amortization</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Pension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04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Fair value of derivatives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trade and consumer promotion programs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04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Pension benefits</w:t>
            </w:r>
          </w:p>
        </w:tc>
        <w:tc>
          <w:tcPr>
            <w:tcW w:w="1040" w:type="dxa"/>
            <w:vAlign w:val="bottom"/>
          </w:tcPr>
          <w:p>
            <w:pPr>
              <w:jc w:val="right"/>
              <w:ind w:right="85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benefits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Unrecognized tax benefits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04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1"/>
        </w:trPr>
        <w:tc>
          <w:tcPr>
            <w:tcW w:w="8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95" w:lineRule="exact"/>
        <w:rPr>
          <w:sz w:val="20"/>
          <w:szCs w:val="20"/>
          <w:color w:val="auto"/>
        </w:rPr>
      </w:pPr>
    </w:p>
    <w:p>
      <w:pPr>
        <w:jc w:val="both"/>
        <w:ind w:left="340" w:hanging="332"/>
        <w:spacing w:after="0" w:line="234" w:lineRule="auto"/>
        <w:tabs>
          <w:tab w:leader="none" w:pos="328"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Depreciation expense was $275 in 2021, $285 in 2020 and $389 in 2019. Depreciation expense associated with discontinued operations was $74 in 2019. Buildings are depreciated over periods ranging from 7 to 45 years. Machinery and equipment are depreciated over periods generally ranging from 2 to 20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Statements of Earnings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Net periodic benefit expense (income) other than the service cost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5"/>
              </w:rPr>
              <w:t>(247)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settlement charges (gains)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300" w:type="dxa"/>
            <w:vAlign w:val="bottom"/>
          </w:tcPr>
          <w:p>
            <w:pPr>
              <w:ind w:left="140"/>
              <w:spacing w:after="0" w:line="230" w:lineRule="exact"/>
              <w:rPr>
                <w:sz w:val="20"/>
                <w:szCs w:val="20"/>
                <w:color w:val="auto"/>
              </w:rPr>
            </w:pPr>
            <w:r>
              <w:rPr>
                <w:rFonts w:ascii="Arial" w:cs="Arial" w:eastAsia="Arial" w:hAnsi="Arial"/>
                <w:sz w:val="18"/>
                <w:szCs w:val="18"/>
                <w:color w:val="auto"/>
              </w:rPr>
              <w:t>Investment losses</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Loss on sales of businesses</w:t>
            </w:r>
            <w:r>
              <w:rPr>
                <w:rFonts w:ascii="Arial" w:cs="Arial" w:eastAsia="Arial" w:hAnsi="Arial"/>
                <w:sz w:val="23"/>
                <w:szCs w:val="23"/>
                <w:color w:val="auto"/>
                <w:vertAlign w:val="superscript"/>
              </w:rPr>
              <w:t>(3)</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Transition services fees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3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7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7300" w:type="dxa"/>
            <w:vAlign w:val="bottom"/>
          </w:tcPr>
          <w:p>
            <w:pPr>
              <w:ind w:left="20"/>
              <w:spacing w:after="0" w:line="230" w:lineRule="exact"/>
              <w:rPr>
                <w:sz w:val="20"/>
                <w:szCs w:val="20"/>
                <w:color w:val="auto"/>
              </w:rPr>
            </w:pPr>
            <w:r>
              <w:rPr>
                <w:rFonts w:ascii="Arial" w:cs="Arial" w:eastAsia="Arial" w:hAnsi="Arial"/>
                <w:sz w:val="18"/>
                <w:szCs w:val="18"/>
                <w:color w:val="auto"/>
              </w:rPr>
              <w:t>Advertising and consumer promotion expense</w:t>
            </w:r>
            <w:r>
              <w:rPr>
                <w:rFonts w:ascii="Arial" w:cs="Arial" w:eastAsia="Arial" w:hAnsi="Arial"/>
                <w:sz w:val="23"/>
                <w:szCs w:val="23"/>
                <w:color w:val="auto"/>
                <w:vertAlign w:val="superscript"/>
              </w:rPr>
              <w:t>(4)</w:t>
            </w:r>
          </w:p>
        </w:tc>
        <w:tc>
          <w:tcPr>
            <w:tcW w:w="760" w:type="dxa"/>
            <w:vAlign w:val="bottom"/>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0"/>
        </w:trPr>
        <w:tc>
          <w:tcPr>
            <w:tcW w:w="7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0"/>
        </w:trPr>
        <w:tc>
          <w:tcPr>
            <w:tcW w:w="7300" w:type="dxa"/>
            <w:vAlign w:val="bottom"/>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(5)</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Interest capitalized</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ectPr>
          <w:pgSz w:w="11900" w:h="16838" w:orient="portrait"/>
          <w:cols w:equalWidth="0" w:num="1">
            <w:col w:w="11240"/>
          </w:cols>
          <w:pgMar w:left="320" w:top="927" w:right="3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2020 includes a loss of $45 related to Acre. See Note 14 for additional information.</w:t>
      </w:r>
    </w:p>
    <w:p>
      <w:pPr>
        <w:spacing w:after="0" w:line="86" w:lineRule="exact"/>
        <w:rPr>
          <w:sz w:val="20"/>
          <w:szCs w:val="20"/>
          <w:color w:val="auto"/>
        </w:rPr>
      </w:pPr>
    </w:p>
    <w:p>
      <w:pPr>
        <w:sectPr>
          <w:pgSz w:w="11900" w:h="16838" w:orient="portrait"/>
          <w:cols w:equalWidth="0" w:num="2">
            <w:col w:w="140" w:space="180"/>
            <w:col w:w="10920"/>
          </w:cols>
          <w:pgMar w:left="320" w:top="927" w:right="339" w:bottom="1440" w:gutter="0" w:footer="0" w:header="0"/>
          <w:type w:val="continuous"/>
        </w:sectPr>
      </w:pPr>
    </w:p>
    <w:p>
      <w:pPr>
        <w:ind w:left="340" w:right="320" w:hanging="332"/>
        <w:spacing w:after="0" w:line="227" w:lineRule="auto"/>
        <w:tabs>
          <w:tab w:leader="none" w:pos="328"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In 2021, we recognized a loss of $11 on the sale of the Plum baby food and snacks business. In 2020, we recognized a loss of $64 on the sale of the European chips business. See Note 3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Included in Marketing and selling expenses.</w:t>
      </w:r>
    </w:p>
    <w:p>
      <w:pPr>
        <w:spacing w:after="0" w:line="55"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In 2020, we recognized a loss of $75 (including $65 of premium, fees and other costs paid with the tender offers and unamortized debt issuance costs).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i w:val="1"/>
          <w:iCs w:val="1"/>
          <w:color w:val="auto"/>
        </w:rPr>
        <w:t>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9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920" w:type="dxa"/>
            <w:vAlign w:val="bottom"/>
            <w:tcBorders>
              <w:top w:val="single" w:sz="8" w:color="CCEEFF"/>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b w:val="1"/>
                <w:bCs w:val="1"/>
                <w:color w:val="auto"/>
                <w:w w:val="90"/>
              </w:rPr>
              <w:t>Cash Flows from Operating Activities</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non-cash charges to net earnings</w:t>
            </w: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ROU asset expense</w:t>
            </w:r>
          </w:p>
        </w:tc>
        <w:tc>
          <w:tcPr>
            <w:tcW w:w="3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Amortization of debt issuance costs/debt discount</w:t>
            </w: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 related expense</w:t>
            </w:r>
          </w:p>
        </w:tc>
        <w:tc>
          <w:tcPr>
            <w:tcW w:w="2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0"/>
        </w:trPr>
        <w:tc>
          <w:tcPr>
            <w:tcW w:w="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 related payments</w:t>
            </w:r>
          </w:p>
        </w:tc>
        <w:tc>
          <w:tcPr>
            <w:tcW w:w="3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Cash Flow Information</w:t>
            </w:r>
          </w:p>
        </w:tc>
        <w:tc>
          <w:tcPr>
            <w:tcW w:w="2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paid</w:t>
            </w:r>
          </w:p>
        </w:tc>
        <w:tc>
          <w:tcPr>
            <w:tcW w:w="34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214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received</w:t>
            </w:r>
          </w:p>
        </w:tc>
        <w:tc>
          <w:tcPr>
            <w:tcW w:w="3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Income taxes paid</w:t>
            </w:r>
          </w:p>
        </w:tc>
        <w:tc>
          <w:tcPr>
            <w:tcW w:w="34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212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Activity</w:t>
            </w: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Build-to-suit lease commitment</w:t>
            </w:r>
          </w:p>
        </w:tc>
        <w:tc>
          <w:tcPr>
            <w:tcW w:w="3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r>
      <w:tr>
        <w:trPr>
          <w:trHeight w:val="101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80" w:type="dxa"/>
            <w:vAlign w:val="bottom"/>
          </w:tcPr>
          <w:p>
            <w:pPr>
              <w:jc w:val="right"/>
              <w:ind w:right="1492"/>
              <w:spacing w:after="0"/>
              <w:rPr>
                <w:sz w:val="20"/>
                <w:szCs w:val="20"/>
                <w:color w:val="auto"/>
              </w:rPr>
            </w:pPr>
            <w:r>
              <w:rPr>
                <w:rFonts w:ascii="Arial" w:cs="Arial" w:eastAsia="Arial" w:hAnsi="Arial"/>
                <w:sz w:val="18"/>
                <w:szCs w:val="18"/>
                <w:color w:val="auto"/>
              </w:rPr>
              <w:t>78</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Borders>
              <w:bottom w:val="single" w:sz="8" w:color="9A9A9A"/>
            </w:tcBorders>
          </w:tcPr>
          <w:p>
            <w:pPr>
              <w:spacing w:after="0"/>
              <w:rPr>
                <w:sz w:val="17"/>
                <w:szCs w:val="17"/>
                <w:color w:val="auto"/>
              </w:rPr>
            </w:pPr>
          </w:p>
        </w:tc>
        <w:tc>
          <w:tcPr>
            <w:tcW w:w="29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26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internal control over financial reporting includes those policies and procedures that:</w:t>
      </w:r>
    </w:p>
    <w:p>
      <w:pPr>
        <w:spacing w:after="0" w:line="90" w:lineRule="exact"/>
        <w:rPr>
          <w:sz w:val="20"/>
          <w:szCs w:val="20"/>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4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August 1, 2021.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August 1, 2021.</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August 1, 2021 has been audited by PricewaterhouseCoopers LLP, an independent registered public accounting firm, as stated in their report, which appears on the next page.</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3686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Clouse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3686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Mick J. Beekhuizen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368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Stanley Polomski</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Controller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ind w:left="338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Campbell Soup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Campbell Soup Company and its subsidiaries (the "Company") as of August 1, 2021 and August 2, 2020, and the related consolidated statements of earnings, comprehensive income, equity, and cash flows for each of the three years in the period ended August 1, 2021, including the related notes and schedule of valuation and qualifying accounts for each of the three years in the period ended August 1, 2021 appearing on page 89 (collectively referred to as the "consolidated financial statements"). We also have audited the Company's internal control over financial reporting as of August 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August 1, 2021 and August 2, 2020, and the results of its operations and its cash flows for each of the three years in the period ended August 1, 2021 in conformity with accounting principles generally accepted in the United States of America. Also in our opinion, the Company maintained, in all material respects, effective internal control over financial reporting as of August 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 Impairment Test for Certain Trademarks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in Notes 1 and 5 to the consolidated financial statements, the Company’s indefinite-lived intangible assets (trademarks) were $2,549 million as of August 1, 2021. Of the carrying value of all indefinite-lived trademarks, $620 million related to the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trademark, $350 million related to the </w:t>
      </w:r>
      <w:r>
        <w:rPr>
          <w:rFonts w:ascii="Arial" w:cs="Arial" w:eastAsia="Arial" w:hAnsi="Arial"/>
          <w:sz w:val="18"/>
          <w:szCs w:val="18"/>
          <w:i w:val="1"/>
          <w:iCs w:val="1"/>
          <w:color w:val="auto"/>
        </w:rPr>
        <w:t>Lance</w:t>
      </w:r>
      <w:r>
        <w:rPr>
          <w:rFonts w:ascii="Arial" w:cs="Arial" w:eastAsia="Arial" w:hAnsi="Arial"/>
          <w:sz w:val="18"/>
          <w:szCs w:val="18"/>
          <w:color w:val="auto"/>
        </w:rPr>
        <w:t xml:space="preserve"> trademark, $292 million related to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and $280 million related to the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trademark. Management conducts a test at least annually for impairment, or when circumstances indicate that the carrying amount of the asset may not be recoverable. Indefinite-lived intangible assets are tested for impairment by comparing the fair value of the asset to the carrying value. Management determines fair value based on discounted cash flow analyses that include significant management assumptions such as revenue growth rates, weighted average costs of capital, and assumed royalty rates.</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principal considerations for our determination that performing procedures relating to the indefinite-lived intangible assets impairment test for certain trademarks is a critical audit matter are the significant amount of judgment by management when developing the estimates related to the </w:t>
      </w:r>
      <w:r>
        <w:rPr>
          <w:rFonts w:ascii="Arial" w:cs="Arial" w:eastAsia="Arial" w:hAnsi="Arial"/>
          <w:sz w:val="17"/>
          <w:szCs w:val="17"/>
          <w:i w:val="1"/>
          <w:iCs w:val="1"/>
          <w:color w:val="auto"/>
        </w:rPr>
        <w:t>Snyder's of</w:t>
      </w:r>
      <w:r>
        <w:rPr>
          <w:rFonts w:ascii="Arial" w:cs="Arial" w:eastAsia="Arial" w:hAnsi="Arial"/>
          <w:sz w:val="17"/>
          <w:szCs w:val="17"/>
          <w:color w:val="auto"/>
        </w:rPr>
        <w:t xml:space="preserve"> </w:t>
      </w:r>
      <w:r>
        <w:rPr>
          <w:rFonts w:ascii="Arial" w:cs="Arial" w:eastAsia="Arial" w:hAnsi="Arial"/>
          <w:sz w:val="17"/>
          <w:szCs w:val="17"/>
          <w:i w:val="1"/>
          <w:iCs w:val="1"/>
          <w:color w:val="auto"/>
        </w:rPr>
        <w:t>Hanover</w:t>
      </w:r>
      <w:r>
        <w:rPr>
          <w:rFonts w:ascii="Arial" w:cs="Arial" w:eastAsia="Arial" w:hAnsi="Arial"/>
          <w:sz w:val="17"/>
          <w:szCs w:val="17"/>
          <w:color w:val="auto"/>
        </w:rPr>
        <w:t>,</w:t>
      </w:r>
      <w:r>
        <w:rPr>
          <w:rFonts w:ascii="Arial" w:cs="Arial" w:eastAsia="Arial" w:hAnsi="Arial"/>
          <w:sz w:val="17"/>
          <w:szCs w:val="17"/>
          <w:i w:val="1"/>
          <w:iCs w:val="1"/>
          <w:color w:val="auto"/>
        </w:rPr>
        <w:t xml:space="preserve"> Lance</w:t>
      </w:r>
      <w:r>
        <w:rPr>
          <w:rFonts w:ascii="Arial" w:cs="Arial" w:eastAsia="Arial" w:hAnsi="Arial"/>
          <w:sz w:val="17"/>
          <w:szCs w:val="17"/>
          <w:color w:val="auto"/>
        </w:rPr>
        <w:t>,</w:t>
      </w:r>
      <w:r>
        <w:rPr>
          <w:rFonts w:ascii="Arial" w:cs="Arial" w:eastAsia="Arial" w:hAnsi="Arial"/>
          <w:sz w:val="17"/>
          <w:szCs w:val="17"/>
          <w:i w:val="1"/>
          <w:iCs w:val="1"/>
          <w:color w:val="auto"/>
        </w:rPr>
        <w:t xml:space="preserve"> Pace, </w:t>
      </w:r>
      <w:r>
        <w:rPr>
          <w:rFonts w:ascii="Arial" w:cs="Arial" w:eastAsia="Arial" w:hAnsi="Arial"/>
          <w:sz w:val="17"/>
          <w:szCs w:val="17"/>
          <w:color w:val="auto"/>
        </w:rPr>
        <w:t>and</w:t>
      </w:r>
      <w:r>
        <w:rPr>
          <w:rFonts w:ascii="Arial" w:cs="Arial" w:eastAsia="Arial" w:hAnsi="Arial"/>
          <w:sz w:val="17"/>
          <w:szCs w:val="17"/>
          <w:i w:val="1"/>
          <w:iCs w:val="1"/>
          <w:color w:val="auto"/>
        </w:rPr>
        <w:t xml:space="preserve"> Pacific Foods </w:t>
      </w:r>
      <w:r>
        <w:rPr>
          <w:rFonts w:ascii="Arial" w:cs="Arial" w:eastAsia="Arial" w:hAnsi="Arial"/>
          <w:sz w:val="17"/>
          <w:szCs w:val="17"/>
          <w:color w:val="auto"/>
        </w:rPr>
        <w:t>trademarks, which in turn led to a high degree of auditor judgment, subjectivity and effort in performing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procedures and evaluating management's significant assumptions related to (i) revenue growth rates, weighted average costs of capital, and assumed royalty rates for the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w:t>
      </w:r>
      <w:r>
        <w:rPr>
          <w:rFonts w:ascii="Arial" w:cs="Arial" w:eastAsia="Arial" w:hAnsi="Arial"/>
          <w:sz w:val="17"/>
          <w:szCs w:val="17"/>
          <w:i w:val="1"/>
          <w:iCs w:val="1"/>
          <w:color w:val="auto"/>
        </w:rPr>
        <w:t>Pace,</w:t>
      </w:r>
      <w:r>
        <w:rPr>
          <w:rFonts w:ascii="Arial" w:cs="Arial" w:eastAsia="Arial" w:hAnsi="Arial"/>
          <w:sz w:val="17"/>
          <w:szCs w:val="17"/>
          <w:color w:val="auto"/>
        </w:rPr>
        <w:t xml:space="preserve"> and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trademarks and (ii) weighted average cost of capital and assumed royalty rate for the </w:t>
      </w:r>
      <w:r>
        <w:rPr>
          <w:rFonts w:ascii="Arial" w:cs="Arial" w:eastAsia="Arial" w:hAnsi="Arial"/>
          <w:sz w:val="17"/>
          <w:szCs w:val="17"/>
          <w:i w:val="1"/>
          <w:iCs w:val="1"/>
          <w:color w:val="auto"/>
        </w:rPr>
        <w:t>Lance</w:t>
      </w:r>
      <w:r>
        <w:rPr>
          <w:rFonts w:ascii="Arial" w:cs="Arial" w:eastAsia="Arial" w:hAnsi="Arial"/>
          <w:sz w:val="17"/>
          <w:szCs w:val="17"/>
          <w:color w:val="auto"/>
        </w:rPr>
        <w:t xml:space="preserve"> trademark. In addition, the audit effort involved the use of professionals with specialized skill and knowledge.</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trademark impairment tests. These procedures also included, among others, (i) testing management’s process for developing the fair value estimates; (ii) evaluating the appropriateness of the discounted cash flow analyses; (iii) testing the completeness, accuracy, and relevance of underlying data used in the analyses; and (iv) evaluating the significant assumptions used by management related to revenue growth rates, weighted average costs of capital, and assumed royalty rates for the </w:t>
      </w:r>
      <w:r>
        <w:rPr>
          <w:rFonts w:ascii="Arial" w:cs="Arial" w:eastAsia="Arial" w:hAnsi="Arial"/>
          <w:sz w:val="16"/>
          <w:szCs w:val="16"/>
          <w:i w:val="1"/>
          <w:iCs w:val="1"/>
          <w:color w:val="auto"/>
        </w:rPr>
        <w:t>Snyder’s</w:t>
      </w:r>
      <w:r>
        <w:rPr>
          <w:rFonts w:ascii="Arial" w:cs="Arial" w:eastAsia="Arial" w:hAnsi="Arial"/>
          <w:sz w:val="16"/>
          <w:szCs w:val="16"/>
          <w:color w:val="auto"/>
        </w:rPr>
        <w:t xml:space="preserve"> </w:t>
      </w:r>
      <w:r>
        <w:rPr>
          <w:rFonts w:ascii="Arial" w:cs="Arial" w:eastAsia="Arial" w:hAnsi="Arial"/>
          <w:sz w:val="16"/>
          <w:szCs w:val="16"/>
          <w:i w:val="1"/>
          <w:iCs w:val="1"/>
          <w:color w:val="auto"/>
        </w:rPr>
        <w:t>of Hanover</w:t>
      </w:r>
      <w:r>
        <w:rPr>
          <w:rFonts w:ascii="Arial" w:cs="Arial" w:eastAsia="Arial" w:hAnsi="Arial"/>
          <w:sz w:val="16"/>
          <w:szCs w:val="16"/>
          <w:color w:val="auto"/>
        </w:rPr>
        <w:t>,</w:t>
      </w:r>
      <w:r>
        <w:rPr>
          <w:rFonts w:ascii="Arial" w:cs="Arial" w:eastAsia="Arial" w:hAnsi="Arial"/>
          <w:sz w:val="16"/>
          <w:szCs w:val="16"/>
          <w:i w:val="1"/>
          <w:iCs w:val="1"/>
          <w:color w:val="auto"/>
        </w:rPr>
        <w:t xml:space="preserve"> Pace, </w:t>
      </w:r>
      <w:r>
        <w:rPr>
          <w:rFonts w:ascii="Arial" w:cs="Arial" w:eastAsia="Arial" w:hAnsi="Arial"/>
          <w:sz w:val="16"/>
          <w:szCs w:val="16"/>
          <w:color w:val="auto"/>
        </w:rPr>
        <w:t>and</w:t>
      </w:r>
      <w:r>
        <w:rPr>
          <w:rFonts w:ascii="Arial" w:cs="Arial" w:eastAsia="Arial" w:hAnsi="Arial"/>
          <w:sz w:val="16"/>
          <w:szCs w:val="16"/>
          <w:i w:val="1"/>
          <w:iCs w:val="1"/>
          <w:color w:val="auto"/>
        </w:rPr>
        <w:t xml:space="preserve"> Pacific Foods </w:t>
      </w:r>
      <w:r>
        <w:rPr>
          <w:rFonts w:ascii="Arial" w:cs="Arial" w:eastAsia="Arial" w:hAnsi="Arial"/>
          <w:sz w:val="16"/>
          <w:szCs w:val="16"/>
          <w:color w:val="auto"/>
        </w:rPr>
        <w:t>trademarks and weighted average cost of capital and assumed royalty rate for the</w:t>
      </w:r>
      <w:r>
        <w:rPr>
          <w:rFonts w:ascii="Arial" w:cs="Arial" w:eastAsia="Arial" w:hAnsi="Arial"/>
          <w:sz w:val="16"/>
          <w:szCs w:val="16"/>
          <w:i w:val="1"/>
          <w:iCs w:val="1"/>
          <w:color w:val="auto"/>
        </w:rPr>
        <w:t xml:space="preserve"> Lance </w:t>
      </w:r>
      <w:r>
        <w:rPr>
          <w:rFonts w:ascii="Arial" w:cs="Arial" w:eastAsia="Arial" w:hAnsi="Arial"/>
          <w:sz w:val="16"/>
          <w:szCs w:val="16"/>
          <w:color w:val="auto"/>
        </w:rPr>
        <w:t>trademark.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assumptions related to revenue growth rates, weighted average costs of capital and assumed royalty rates involved evaluating whether the assumptions used by management were reasonable considering (i) the current and past performance associated with the trademarks,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model and evaluating the reasonableness of the weighted average costs of capital and royalty rates assumptions.</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86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23, 2021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August 1, 2021 (the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annual report of management on our internal control over financial reporting is provided under "Financial Statements and Supplementary Data" on page 79. The attestation report of PricewaterhouseCoopers LLP, our independent registered public accounting firm, regarding our internal control over financial reporting is provided under "Financial Statements and Supplementary Data" on pages 80-81.</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internal control over financial reporting during the quarter ended August 1,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sections entitled "Item 1 — Election of Directors" and "Voting Securities and Principal Shareholders — Ownership of Directors and Executive Officers" in our Proxy Statement for the 2021 Annual Meeting of Shareholders (the 2021 Proxy) are incorporated herein by reference. The information presented in the section entitled "Corporate Governance Policies and Practices — Board Meetings and Committees — Board Committee Structure" in the 2021 Proxy relating to the members of our Audit Committee and the Audit Committee’s financial experts is incorporated herein by reference.</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 information required by this Item relating to our executive officers is set forth under the heading "Information about our Executive Officers" in this Report.</w:t>
      </w:r>
    </w:p>
    <w:p>
      <w:pPr>
        <w:spacing w:after="0" w:line="3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the Investor portion of our website, www.campbellsoupcompany.com (under the "About Us—Investors— Governance—Governance Documents" caption). We intend to satisfy the disclosure requirement regarding any amendment to, or a waiver of, a provision of the Code of Ethics for the Chief Executive Officer and Senior Financial Officers by posting such information on our website.</w:t>
      </w:r>
    </w:p>
    <w:p>
      <w:pPr>
        <w:spacing w:after="0" w:line="5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We have also adopted a separate Code of Business Conduct and Ethics applicable to the Board of Directors, our officers and all of our employees. The Code of Business Conduct and Ethics is posted on the Investor portion of our website, </w:t>
      </w:r>
      <w:r>
        <w:rPr>
          <w:rFonts w:ascii="Arial" w:cs="Arial" w:eastAsia="Arial" w:hAnsi="Arial"/>
          <w:sz w:val="16"/>
          <w:szCs w:val="16"/>
          <w:u w:val="single" w:color="auto"/>
          <w:color w:val="auto"/>
        </w:rPr>
        <w:t>www.campbellsoupcompany.com</w:t>
      </w:r>
      <w:r>
        <w:rPr>
          <w:rFonts w:ascii="Arial" w:cs="Arial" w:eastAsia="Arial" w:hAnsi="Arial"/>
          <w:sz w:val="16"/>
          <w:szCs w:val="16"/>
          <w:color w:val="auto"/>
        </w:rPr>
        <w:t xml:space="preserve"> (under the "About Us—Investors —Governance—Governance Documents" caption). Our Corporate Governance Standards and the charters of our four standing committees of the Board of Directors can also be found at this website. Printed copies of the foregoing are available to any shareholder requesting a copy by:</w:t>
      </w:r>
    </w:p>
    <w:p>
      <w:pPr>
        <w:spacing w:after="0" w:line="3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writing to Investor Relations, Campbell Soup Company, 1 Campbell Place, Camden, NJ 08103-1799;</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calling 1-800-840-2865;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e-mailing our Investor Relations Department at IR@campbells.com.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2021 Proxy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sections entitled "Voting Securities and Principal Shareholders — Ownership of Directors and Executive Officers" and "Voting Securities and Principal Shareholders — Principal Shareholders" in the 2021 Proxy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stock that could have been issued under our equity compensation plans as of August 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Exercise Price of</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Exercise of</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Options,</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Options, Warrants and</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Warrants and Rights</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2"/>
            <w:vMerge w:val="continue"/>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Rights (a)</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5,869,698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4,194,683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8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5,869,698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4,194,683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68" w:lineRule="exact"/>
        <w:rPr>
          <w:sz w:val="20"/>
          <w:szCs w:val="20"/>
          <w:color w:val="auto"/>
        </w:rPr>
      </w:pPr>
    </w:p>
    <w:p>
      <w:pPr>
        <w:jc w:val="both"/>
        <w:ind w:left="340" w:hanging="332"/>
        <w:spacing w:after="0" w:line="277" w:lineRule="auto"/>
        <w:tabs>
          <w:tab w:leader="none" w:pos="328"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Column (a) represents stock options and restricted stock units outstanding under the 2015 Long-Term Incentive Plan and the 2005 Long-Term Incentive Plan. Column (a) includes 2,921,682 TSR performance restricted stock units and Free Cash Flow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the 2005 Long-Term Incentive Plan. Future equity awards under the 2015 Long-Term Incentive Plan may take the form of stock options, stock appreciation rights,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August 1,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presented in the section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2021 Proxy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2021 Proxy is incorporated herein by reference.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08"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Earnings for 2021, 2020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Comprehensive Income for 2021, 2020 and 2019</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August 1, 2021 and August 2,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2021, 2020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Equity for 2021, 2020 and 2019</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04" w:lineRule="exact"/>
        <w:rPr>
          <w:sz w:val="20"/>
          <w:szCs w:val="20"/>
          <w:color w:val="auto"/>
        </w:rPr>
      </w:pPr>
    </w:p>
    <w:p>
      <w:pPr>
        <w:ind w:left="560" w:hanging="228"/>
        <w:spacing w:after="0"/>
        <w:tabs>
          <w:tab w:leader="none" w:pos="5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w:t>
      </w:r>
    </w:p>
    <w:p>
      <w:pPr>
        <w:spacing w:after="0" w:line="103"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II - Valuation and Qualifying Accounts for 2021, 2020 and 2019</w:t>
      </w:r>
    </w:p>
    <w:p>
      <w:pPr>
        <w:spacing w:after="0" w:line="90" w:lineRule="exact"/>
        <w:rPr>
          <w:rFonts w:ascii="Arial" w:cs="Arial" w:eastAsia="Arial" w:hAnsi="Arial"/>
          <w:sz w:val="18"/>
          <w:szCs w:val="18"/>
          <w:b w:val="1"/>
          <w:bCs w:val="1"/>
          <w:i w:val="1"/>
          <w:iCs w:val="1"/>
          <w:color w:val="auto"/>
        </w:rPr>
      </w:pPr>
    </w:p>
    <w:p>
      <w:pPr>
        <w:ind w:left="560" w:hanging="228"/>
        <w:spacing w:after="0"/>
        <w:tabs>
          <w:tab w:leader="none" w:pos="5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Item 15(b) below.</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3" w:name="page84"/>
    <w:bookmarkEnd w:id="83"/>
    <w:p>
      <w:pPr>
        <w:ind w:left="300" w:hanging="252"/>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The Exhibit Index, which immediately precedes the signature page, is incorporated by reference into this Report.</w:t>
      </w:r>
    </w:p>
    <w:p>
      <w:pPr>
        <w:spacing w:after="0" w:line="113" w:lineRule="exact"/>
        <w:rPr>
          <w:rFonts w:ascii="Arial" w:cs="Arial" w:eastAsia="Arial" w:hAnsi="Arial"/>
          <w:sz w:val="16"/>
          <w:szCs w:val="16"/>
          <w:color w:val="auto"/>
        </w:rPr>
      </w:pPr>
    </w:p>
    <w:p>
      <w:pPr>
        <w:ind w:left="300" w:hanging="25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Reference is made to Item 15(a)(2)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9"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INDEX TO EXHIBITS</w:t>
      </w:r>
    </w:p>
    <w:p>
      <w:pPr>
        <w:spacing w:after="0" w:line="239" w:lineRule="exact"/>
        <w:rPr>
          <w:sz w:val="20"/>
          <w:szCs w:val="20"/>
          <w:color w:val="auto"/>
        </w:rPr>
      </w:pPr>
    </w:p>
    <w:p>
      <w:pPr>
        <w:jc w:val="both"/>
        <w:ind w:left="1180" w:right="40" w:hanging="1073"/>
        <w:spacing w:after="0" w:line="224" w:lineRule="auto"/>
        <w:tabs>
          <w:tab w:leader="none" w:pos="1180" w:val="left"/>
        </w:tabs>
        <w:numPr>
          <w:ilvl w:val="0"/>
          <w:numId w:val="62"/>
        </w:numPr>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Stock and Asset Purchase Agreement, dated August 1, 2019, by and among Campbell Soup Company and Snacking Investments BidCo</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Pty Limited, is incorporated by reference to Exhibit 2.1 to Campbell's Form 8-K (SEC file number 1-3822) filed with the SEC on August</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7, 2019.</w:t>
        </w:r>
      </w:hyperlink>
    </w:p>
    <w:p>
      <w:pPr>
        <w:spacing w:after="0" w:line="78"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100"/>
              <w:spacing w:after="0"/>
              <w:rPr>
                <w:sz w:val="20"/>
                <w:szCs w:val="20"/>
                <w:color w:val="auto"/>
              </w:rPr>
            </w:pPr>
            <w:r>
              <w:rPr>
                <w:rFonts w:ascii="Arial" w:cs="Arial" w:eastAsia="Arial" w:hAnsi="Arial"/>
                <w:sz w:val="18"/>
                <w:szCs w:val="18"/>
                <w:color w:val="auto"/>
              </w:rPr>
              <w:t>3(a)</w:t>
            </w:r>
          </w:p>
        </w:tc>
        <w:tc>
          <w:tcPr>
            <w:tcW w:w="10260" w:type="dxa"/>
            <w:vAlign w:val="bottom"/>
            <w:gridSpan w:val="27"/>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Campbell’s Restated Certificate of Incorporation, as amended through February 24, 1997, is incorporated by reference to Exhibit 3(i) to</w:t>
              </w:r>
            </w:hyperlink>
          </w:p>
        </w:tc>
      </w:tr>
      <w:tr>
        <w:trPr>
          <w:trHeight w:val="156"/>
        </w:trPr>
        <w:tc>
          <w:tcPr>
            <w:tcW w:w="118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Campbell’s Form 10-K (SEC file number 1-3822) for the fiscal year ended July 28, 2002.</w:t>
              </w:r>
            </w:hyperlink>
          </w:p>
        </w:tc>
        <w:tc>
          <w:tcPr>
            <w:tcW w:w="3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3(b)</w:t>
            </w:r>
          </w:p>
        </w:tc>
        <w:tc>
          <w:tcPr>
            <w:tcW w:w="10260" w:type="dxa"/>
            <w:vAlign w:val="bottom"/>
            <w:gridSpan w:val="27"/>
          </w:tcPr>
          <w:p>
            <w:pPr>
              <w:spacing w:after="0"/>
              <w:rPr>
                <w:rFonts w:ascii="Arial" w:cs="Arial" w:eastAsia="Arial" w:hAnsi="Arial"/>
                <w:sz w:val="18"/>
                <w:szCs w:val="18"/>
                <w:color w:val="0000FF"/>
                <w:w w:val="98"/>
              </w:rPr>
            </w:pPr>
            <w:hyperlink r:id="rId112">
              <w:r>
                <w:rPr>
                  <w:rFonts w:ascii="Arial" w:cs="Arial" w:eastAsia="Arial" w:hAnsi="Arial"/>
                  <w:sz w:val="18"/>
                  <w:szCs w:val="18"/>
                  <w:color w:val="0000FF"/>
                  <w:w w:val="98"/>
                </w:rPr>
                <w:t>By-Laws of Campbell Soup Company, amended and restated effective June 24, 2020, are incorporated by reference to Exhibit 3 to</w:t>
              </w:r>
            </w:hyperlink>
          </w:p>
        </w:tc>
      </w:tr>
      <w:tr>
        <w:trPr>
          <w:trHeight w:val="183"/>
        </w:trPr>
        <w:tc>
          <w:tcPr>
            <w:tcW w:w="118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Campbell’s Form 8-K (SEC file number 1-3822) filed with the SEC on June 25, 2020.</w:t>
              </w:r>
            </w:hyperlink>
          </w:p>
        </w:tc>
        <w:tc>
          <w:tcPr>
            <w:tcW w:w="3180" w:type="dxa"/>
            <w:vAlign w:val="bottom"/>
            <w:tcBorders>
              <w:top w:val="single" w:sz="8" w:color="0000FF"/>
            </w:tcBorders>
            <w:gridSpan w:val="4"/>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4(a)</w:t>
            </w:r>
          </w:p>
        </w:tc>
        <w:tc>
          <w:tcPr>
            <w:tcW w:w="10260" w:type="dxa"/>
            <w:vAlign w:val="bottom"/>
            <w:gridSpan w:val="27"/>
          </w:tcPr>
          <w:p>
            <w:pPr>
              <w:spacing w:after="0"/>
              <w:rPr>
                <w:rFonts w:ascii="Arial" w:cs="Arial" w:eastAsia="Arial" w:hAnsi="Arial"/>
                <w:sz w:val="18"/>
                <w:szCs w:val="18"/>
                <w:color w:val="0000FF"/>
                <w:w w:val="94"/>
              </w:rPr>
            </w:pPr>
            <w:hyperlink r:id="rId113">
              <w:r>
                <w:rPr>
                  <w:rFonts w:ascii="Arial" w:cs="Arial" w:eastAsia="Arial" w:hAnsi="Arial"/>
                  <w:sz w:val="18"/>
                  <w:szCs w:val="18"/>
                  <w:color w:val="0000FF"/>
                  <w:w w:val="94"/>
                </w:rPr>
                <w:t>Indenture, dated November 24, 2008, between Campbell and The Bank of New York Mellon, as Trustee, is incorporated by reference to</w:t>
              </w:r>
            </w:hyperlink>
          </w:p>
        </w:tc>
      </w:tr>
      <w:tr>
        <w:trPr>
          <w:trHeight w:val="156"/>
        </w:trPr>
        <w:tc>
          <w:tcPr>
            <w:tcW w:w="118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Exhibit 4(a) to Campbell’s Registration Statement on Form S-3 (SEC file number 333-155626) filed with the SEC on November 24,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4(b)</w:t>
            </w:r>
          </w:p>
        </w:tc>
        <w:tc>
          <w:tcPr>
            <w:tcW w:w="10260" w:type="dxa"/>
            <w:vAlign w:val="bottom"/>
            <w:gridSpan w:val="27"/>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Form of First Supplemental Indenture, dated August 2, 2012, among Campbell, The Bank of New York Mellon and Wells Fargo Bank,</w:t>
              </w:r>
            </w:hyperlink>
          </w:p>
        </w:tc>
      </w:tr>
      <w:tr>
        <w:trPr>
          <w:trHeight w:val="156"/>
        </w:trPr>
        <w:tc>
          <w:tcPr>
            <w:tcW w:w="118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National Association, as Series Trustee, to Indenture dated November 24, 2008, is incorporated by reference to Exhibit 4.1 to Campbell's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0240" w:type="dxa"/>
            <w:vAlign w:val="bottom"/>
            <w:gridSpan w:val="26"/>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Form 8-K (SEC file number 1-3822) filed with the SEC on August 2, 2012.</w:t>
              </w:r>
            </w:hyperlink>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4(c)</w:t>
            </w:r>
          </w:p>
        </w:tc>
        <w:tc>
          <w:tcPr>
            <w:tcW w:w="10260" w:type="dxa"/>
            <w:vAlign w:val="bottom"/>
            <w:gridSpan w:val="27"/>
          </w:tcPr>
          <w:p>
            <w:pPr>
              <w:spacing w:after="0"/>
              <w:rPr>
                <w:rFonts w:ascii="Arial" w:cs="Arial" w:eastAsia="Arial" w:hAnsi="Arial"/>
                <w:sz w:val="18"/>
                <w:szCs w:val="18"/>
                <w:color w:val="0000FF"/>
                <w:w w:val="93"/>
              </w:rPr>
            </w:pPr>
            <w:hyperlink r:id="rId115">
              <w:r>
                <w:rPr>
                  <w:rFonts w:ascii="Arial" w:cs="Arial" w:eastAsia="Arial" w:hAnsi="Arial"/>
                  <w:sz w:val="18"/>
                  <w:szCs w:val="18"/>
                  <w:color w:val="0000FF"/>
                  <w:w w:val="93"/>
                </w:rPr>
                <w:t>Form of Subordinated Indenture between Campbell and Wells Fargo Bank, National Association, as Trustee, is incorporated by reference</w:t>
              </w:r>
            </w:hyperlink>
          </w:p>
        </w:tc>
      </w:tr>
      <w:tr>
        <w:trPr>
          <w:trHeight w:val="156"/>
        </w:trPr>
        <w:tc>
          <w:tcPr>
            <w:tcW w:w="11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to Exhibit 4.2 to Campbell's Registration Statement on Form S-3 (SEC file number 333-249174) filed with the SEC on September 30,</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115">
              <w:r>
                <w:rPr>
                  <w:rFonts w:ascii="Arial" w:cs="Arial" w:eastAsia="Arial" w:hAnsi="Arial"/>
                  <w:sz w:val="18"/>
                  <w:szCs w:val="18"/>
                  <w:color w:val="0000FF"/>
                  <w:w w:val="88"/>
                </w:rPr>
                <w:t>2020.</w:t>
              </w:r>
            </w:hyperlink>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4(d)</w:t>
            </w:r>
          </w:p>
        </w:tc>
        <w:tc>
          <w:tcPr>
            <w:tcW w:w="10260" w:type="dxa"/>
            <w:vAlign w:val="bottom"/>
            <w:gridSpan w:val="27"/>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Indenture dated as of March 19, 2015, between Campbell and Wells Fargo Bank, National Association, as trustee, is incorporated by</w:t>
              </w:r>
            </w:hyperlink>
          </w:p>
        </w:tc>
      </w:tr>
      <w:tr>
        <w:trPr>
          <w:trHeight w:val="156"/>
        </w:trPr>
        <w:tc>
          <w:tcPr>
            <w:tcW w:w="118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reference to Exhibit 4.1 to Campbell's Form 8-K (SEC file number 1-3822) filed with the SEC on March 19, 2015.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180" w:type="dxa"/>
            <w:vAlign w:val="bottom"/>
          </w:tcPr>
          <w:p>
            <w:pPr>
              <w:ind w:left="100"/>
              <w:spacing w:after="0"/>
              <w:rPr>
                <w:sz w:val="20"/>
                <w:szCs w:val="20"/>
                <w:color w:val="auto"/>
              </w:rPr>
            </w:pPr>
            <w:r>
              <w:rPr>
                <w:rFonts w:ascii="Arial" w:cs="Arial" w:eastAsia="Arial" w:hAnsi="Arial"/>
                <w:sz w:val="18"/>
                <w:szCs w:val="18"/>
                <w:color w:val="auto"/>
              </w:rPr>
              <w:t>4(e)</w:t>
            </w:r>
          </w:p>
        </w:tc>
        <w:tc>
          <w:tcPr>
            <w:tcW w:w="10260" w:type="dxa"/>
            <w:vAlign w:val="bottom"/>
            <w:gridSpan w:val="27"/>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Form of 2.500% Notes due 2022 is incorporated by reference to Exhibit 4.1 to Campbell's Form 8-K (SEC file number 1-3822) filed with</w:t>
              </w:r>
            </w:hyperlink>
          </w:p>
        </w:tc>
      </w:tr>
      <w:tr>
        <w:trPr>
          <w:trHeight w:val="156"/>
        </w:trPr>
        <w:tc>
          <w:tcPr>
            <w:tcW w:w="118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the SEC on August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4(f)</w:t>
            </w:r>
          </w:p>
        </w:tc>
        <w:tc>
          <w:tcPr>
            <w:tcW w:w="10260" w:type="dxa"/>
            <w:vAlign w:val="bottom"/>
            <w:gridSpan w:val="27"/>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Form of 3.800% Notes due 2042 is incorporated by reference to Exhibit 4.1 to Campbell's Form 8-K (SEC file number 1-3822) filed with</w:t>
              </w:r>
            </w:hyperlink>
          </w:p>
        </w:tc>
      </w:tr>
      <w:tr>
        <w:trPr>
          <w:trHeight w:val="155"/>
        </w:trPr>
        <w:tc>
          <w:tcPr>
            <w:tcW w:w="118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the SEC on August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4(g)</w:t>
            </w:r>
          </w:p>
        </w:tc>
        <w:tc>
          <w:tcPr>
            <w:tcW w:w="10260" w:type="dxa"/>
            <w:vAlign w:val="bottom"/>
            <w:gridSpan w:val="27"/>
          </w:tcPr>
          <w:p>
            <w:pPr>
              <w:spacing w:after="0"/>
              <w:rPr>
                <w:rFonts w:ascii="Arial" w:cs="Arial" w:eastAsia="Arial" w:hAnsi="Arial"/>
                <w:sz w:val="18"/>
                <w:szCs w:val="18"/>
                <w:color w:val="0000FF"/>
                <w:w w:val="95"/>
              </w:rPr>
            </w:pPr>
            <w:hyperlink r:id="rId117">
              <w:r>
                <w:rPr>
                  <w:rFonts w:ascii="Arial" w:cs="Arial" w:eastAsia="Arial" w:hAnsi="Arial"/>
                  <w:sz w:val="18"/>
                  <w:szCs w:val="18"/>
                  <w:color w:val="0000FF"/>
                  <w:w w:val="95"/>
                </w:rPr>
                <w:t>Form of 3.300% Note due 2025 is incorporated by referenced to Exhibit 4.2 to Campbell's Form 8-K (SEC file number 1-3822) filed with</w:t>
              </w:r>
            </w:hyperlink>
          </w:p>
        </w:tc>
      </w:tr>
      <w:tr>
        <w:trPr>
          <w:trHeight w:val="155"/>
        </w:trPr>
        <w:tc>
          <w:tcPr>
            <w:tcW w:w="118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the SEC on March 19, 2015.</w:t>
              </w:r>
            </w:hyperlink>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4(h)</w:t>
            </w:r>
          </w:p>
        </w:tc>
        <w:tc>
          <w:tcPr>
            <w:tcW w:w="10260" w:type="dxa"/>
            <w:vAlign w:val="bottom"/>
            <w:gridSpan w:val="27"/>
          </w:tcPr>
          <w:p>
            <w:pPr>
              <w:spacing w:after="0"/>
              <w:rPr>
                <w:rFonts w:ascii="Arial" w:cs="Arial" w:eastAsia="Arial" w:hAnsi="Arial"/>
                <w:sz w:val="18"/>
                <w:szCs w:val="18"/>
                <w:color w:val="0000FF"/>
                <w:w w:val="97"/>
              </w:rPr>
            </w:pPr>
            <w:hyperlink r:id="rId118">
              <w:r>
                <w:rPr>
                  <w:rFonts w:ascii="Arial" w:cs="Arial" w:eastAsia="Arial" w:hAnsi="Arial"/>
                  <w:sz w:val="18"/>
                  <w:szCs w:val="18"/>
                  <w:color w:val="0000FF"/>
                  <w:w w:val="97"/>
                </w:rPr>
                <w:t>Form of Floating Rate Note due 2021 is incorporated by reference to Exhibit 4.2.2 to Campbell's Form 8-K (SEC file number 1-3822)</w:t>
              </w:r>
            </w:hyperlink>
          </w:p>
        </w:tc>
      </w:tr>
      <w:tr>
        <w:trPr>
          <w:trHeight w:val="156"/>
        </w:trPr>
        <w:tc>
          <w:tcPr>
            <w:tcW w:w="118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filed with the SEC on March 16, 2018.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4(i)</w:t>
            </w:r>
          </w:p>
        </w:tc>
        <w:tc>
          <w:tcPr>
            <w:tcW w:w="10260" w:type="dxa"/>
            <w:vAlign w:val="bottom"/>
            <w:gridSpan w:val="27"/>
          </w:tcPr>
          <w:p>
            <w:pPr>
              <w:spacing w:after="0"/>
              <w:rPr>
                <w:rFonts w:ascii="Arial" w:cs="Arial" w:eastAsia="Arial" w:hAnsi="Arial"/>
                <w:sz w:val="18"/>
                <w:szCs w:val="18"/>
                <w:color w:val="0000FF"/>
                <w:w w:val="94"/>
              </w:rPr>
            </w:pPr>
            <w:hyperlink r:id="rId119">
              <w:r>
                <w:rPr>
                  <w:rFonts w:ascii="Arial" w:cs="Arial" w:eastAsia="Arial" w:hAnsi="Arial"/>
                  <w:sz w:val="18"/>
                  <w:szCs w:val="18"/>
                  <w:color w:val="0000FF"/>
                  <w:w w:val="94"/>
                </w:rPr>
                <w:t>Form of 3.650% Note due 2023 is incorporated by reference to Exhibit 4.2.4 to Campbell's Form 8-K (SEC file number 1-3822) filed with</w:t>
              </w:r>
            </w:hyperlink>
          </w:p>
        </w:tc>
      </w:tr>
      <w:tr>
        <w:trPr>
          <w:trHeight w:val="156"/>
        </w:trPr>
        <w:tc>
          <w:tcPr>
            <w:tcW w:w="118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the SEC on March 16,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tcBorders>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4(j)</w:t>
            </w:r>
          </w:p>
        </w:tc>
        <w:tc>
          <w:tcPr>
            <w:tcW w:w="10260" w:type="dxa"/>
            <w:vAlign w:val="bottom"/>
            <w:gridSpan w:val="27"/>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Form of 3.950% Note due 2025 is incorporated by reference to Exhibit 4.2.5 to Campbell's Form 8-K (SEC file number 1-3822) filed with</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the SEC on March 16,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tcBorders>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4(k)</w:t>
            </w:r>
          </w:p>
        </w:tc>
        <w:tc>
          <w:tcPr>
            <w:tcW w:w="10260" w:type="dxa"/>
            <w:vAlign w:val="bottom"/>
            <w:gridSpan w:val="27"/>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Form of 4.150% Note due 2028 is incorporated by reference to Exhibit 4.2.6 to Campbell's Form 8-K (SEC file number 1-3822) filed with</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the SEC on March 16,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tcBorders>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4(l)</w:t>
            </w:r>
          </w:p>
        </w:tc>
        <w:tc>
          <w:tcPr>
            <w:tcW w:w="10260" w:type="dxa"/>
            <w:vAlign w:val="bottom"/>
            <w:gridSpan w:val="27"/>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Form of 4.800% Note due 2048 is incorporated by reference to Exhibit 4.2.7 to Campbell's Form 8-K (SEC file number 1-3822) filed with</w:t>
              </w:r>
            </w:hyperlink>
          </w:p>
        </w:tc>
      </w:tr>
      <w:tr>
        <w:trPr>
          <w:trHeight w:val="156"/>
        </w:trPr>
        <w:tc>
          <w:tcPr>
            <w:tcW w:w="118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the SEC on March 16,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tcBorders>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4(m)</w:t>
            </w:r>
          </w:p>
        </w:tc>
        <w:tc>
          <w:tcPr>
            <w:tcW w:w="10260" w:type="dxa"/>
            <w:vAlign w:val="bottom"/>
            <w:gridSpan w:val="27"/>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Form of 2.375% Note due 2030 incorporated by reference to Exhibit 4.2.1 to Campbell's Form 8-K (SEC file number 1-3822) filed with</w:t>
              </w:r>
            </w:hyperlink>
          </w:p>
        </w:tc>
      </w:tr>
      <w:tr>
        <w:trPr>
          <w:trHeight w:val="155"/>
        </w:trPr>
        <w:tc>
          <w:tcPr>
            <w:tcW w:w="118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the SEC on April 24, 2020.</w:t>
              </w:r>
            </w:hyperlink>
          </w:p>
        </w:tc>
        <w:tc>
          <w:tcPr>
            <w:tcW w:w="7800" w:type="dxa"/>
            <w:vAlign w:val="bottom"/>
            <w:tcBorders>
              <w:top w:val="single" w:sz="8" w:color="0000FF"/>
            </w:tcBorders>
            <w:gridSpan w:val="9"/>
          </w:tcPr>
          <w:p>
            <w:pPr>
              <w:spacing w:after="0"/>
              <w:rPr>
                <w:sz w:val="13"/>
                <w:szCs w:val="13"/>
                <w:color w:val="auto"/>
              </w:rPr>
            </w:pPr>
          </w:p>
        </w:tc>
        <w:tc>
          <w:tcPr>
            <w:tcW w:w="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80" w:type="dxa"/>
            <w:vAlign w:val="bottom"/>
          </w:tcPr>
          <w:p>
            <w:pPr>
              <w:ind w:left="100"/>
              <w:spacing w:after="0"/>
              <w:rPr>
                <w:sz w:val="20"/>
                <w:szCs w:val="20"/>
                <w:color w:val="auto"/>
              </w:rPr>
            </w:pPr>
            <w:r>
              <w:rPr>
                <w:rFonts w:ascii="Arial" w:cs="Arial" w:eastAsia="Arial" w:hAnsi="Arial"/>
                <w:sz w:val="18"/>
                <w:szCs w:val="18"/>
                <w:color w:val="auto"/>
              </w:rPr>
              <w:t>4(n)</w:t>
            </w:r>
          </w:p>
        </w:tc>
        <w:tc>
          <w:tcPr>
            <w:tcW w:w="10260" w:type="dxa"/>
            <w:vAlign w:val="bottom"/>
            <w:gridSpan w:val="27"/>
          </w:tcPr>
          <w:p>
            <w:pPr>
              <w:spacing w:after="0"/>
              <w:rPr>
                <w:rFonts w:ascii="Arial" w:cs="Arial" w:eastAsia="Arial" w:hAnsi="Arial"/>
                <w:sz w:val="18"/>
                <w:szCs w:val="18"/>
                <w:color w:val="0000FF"/>
                <w:w w:val="96"/>
              </w:rPr>
            </w:pPr>
            <w:hyperlink r:id="rId124">
              <w:r>
                <w:rPr>
                  <w:rFonts w:ascii="Arial" w:cs="Arial" w:eastAsia="Arial" w:hAnsi="Arial"/>
                  <w:sz w:val="18"/>
                  <w:szCs w:val="18"/>
                  <w:color w:val="0000FF"/>
                  <w:w w:val="96"/>
                </w:rPr>
                <w:t>Form of 3.125% Note due 2050 incorporated by reference to Exhibit 4.2.2 to Campbell's Form 8-K (SEC file number 1-3822) filed with</w:t>
              </w:r>
            </w:hyperlink>
          </w:p>
        </w:tc>
      </w:tr>
      <w:tr>
        <w:trPr>
          <w:trHeight w:val="156"/>
        </w:trPr>
        <w:tc>
          <w:tcPr>
            <w:tcW w:w="118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the SEC on April 24, 2020.</w:t>
              </w:r>
            </w:hyperlink>
          </w:p>
        </w:tc>
        <w:tc>
          <w:tcPr>
            <w:tcW w:w="7800" w:type="dxa"/>
            <w:vAlign w:val="bottom"/>
            <w:tcBorders>
              <w:top w:val="single" w:sz="8" w:color="0000FF"/>
            </w:tcBorders>
            <w:gridSpan w:val="9"/>
          </w:tcPr>
          <w:p>
            <w:pPr>
              <w:spacing w:after="0"/>
              <w:rPr>
                <w:sz w:val="13"/>
                <w:szCs w:val="13"/>
                <w:color w:val="auto"/>
              </w:rPr>
            </w:pPr>
          </w:p>
        </w:tc>
        <w:tc>
          <w:tcPr>
            <w:tcW w:w="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80" w:type="dxa"/>
            <w:vAlign w:val="bottom"/>
          </w:tcPr>
          <w:p>
            <w:pPr>
              <w:ind w:left="100"/>
              <w:spacing w:after="0"/>
              <w:rPr>
                <w:sz w:val="20"/>
                <w:szCs w:val="20"/>
                <w:color w:val="auto"/>
              </w:rPr>
            </w:pPr>
            <w:r>
              <w:rPr>
                <w:rFonts w:ascii="Arial" w:cs="Arial" w:eastAsia="Arial" w:hAnsi="Arial"/>
                <w:sz w:val="18"/>
                <w:szCs w:val="18"/>
                <w:color w:val="auto"/>
              </w:rPr>
              <w:t>4(o)</w:t>
            </w:r>
          </w:p>
        </w:tc>
        <w:tc>
          <w:tcPr>
            <w:tcW w:w="10260" w:type="dxa"/>
            <w:vAlign w:val="bottom"/>
            <w:gridSpan w:val="27"/>
          </w:tcPr>
          <w:p>
            <w:pPr>
              <w:spacing w:after="0"/>
              <w:rPr>
                <w:rFonts w:ascii="Arial" w:cs="Arial" w:eastAsia="Arial" w:hAnsi="Arial"/>
                <w:sz w:val="18"/>
                <w:szCs w:val="18"/>
                <w:color w:val="0000FF"/>
                <w:w w:val="95"/>
              </w:rPr>
            </w:pPr>
            <w:hyperlink r:id="rId125">
              <w:r>
                <w:rPr>
                  <w:rFonts w:ascii="Arial" w:cs="Arial" w:eastAsia="Arial" w:hAnsi="Arial"/>
                  <w:sz w:val="18"/>
                  <w:szCs w:val="18"/>
                  <w:color w:val="0000FF"/>
                  <w:w w:val="95"/>
                </w:rPr>
                <w:t>Description of securities incorporated by reference to Exhibit 4(p) to Campbell's Form 10-K (SEC file number 1-3822) filed with the SEC</w:t>
              </w:r>
            </w:hyperlink>
          </w:p>
        </w:tc>
      </w:tr>
      <w:tr>
        <w:trPr>
          <w:trHeight w:val="155"/>
        </w:trPr>
        <w:tc>
          <w:tcPr>
            <w:tcW w:w="118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on September 26, 2019.</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10(a)+</w:t>
            </w:r>
          </w:p>
        </w:tc>
        <w:tc>
          <w:tcPr>
            <w:tcW w:w="10260" w:type="dxa"/>
            <w:vAlign w:val="bottom"/>
            <w:gridSpan w:val="27"/>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Campbell Soup Company 2005 Long-Term Incentive Plan, as amended and restated on November 18, 2010, is incorporated by reference</w:t>
              </w:r>
            </w:hyperlink>
          </w:p>
        </w:tc>
      </w:tr>
      <w:tr>
        <w:trPr>
          <w:trHeight w:val="155"/>
        </w:trPr>
        <w:tc>
          <w:tcPr>
            <w:tcW w:w="118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to Campbell’s 2010 Proxy Statement (SEC file number 1-3822) filed with the SEC on October 7, 2010.</w:t>
              </w:r>
            </w:hyperlink>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Arial" w:cs="Arial" w:eastAsia="Arial" w:hAnsi="Arial"/>
                <w:sz w:val="18"/>
                <w:szCs w:val="18"/>
                <w:color w:val="auto"/>
              </w:rPr>
              <w:t>10(b)+</w:t>
            </w:r>
          </w:p>
        </w:tc>
        <w:tc>
          <w:tcPr>
            <w:tcW w:w="10260" w:type="dxa"/>
            <w:vAlign w:val="bottom"/>
            <w:gridSpan w:val="27"/>
          </w:tcPr>
          <w:p>
            <w:pPr>
              <w:spacing w:after="0"/>
              <w:rPr>
                <w:rFonts w:ascii="Arial" w:cs="Arial" w:eastAsia="Arial" w:hAnsi="Arial"/>
                <w:sz w:val="18"/>
                <w:szCs w:val="18"/>
                <w:color w:val="0000FF"/>
                <w:w w:val="96"/>
              </w:rPr>
            </w:pPr>
            <w:hyperlink r:id="rId127">
              <w:r>
                <w:rPr>
                  <w:rFonts w:ascii="Arial" w:cs="Arial" w:eastAsia="Arial" w:hAnsi="Arial"/>
                  <w:sz w:val="18"/>
                  <w:szCs w:val="18"/>
                  <w:color w:val="0000FF"/>
                  <w:w w:val="96"/>
                </w:rPr>
                <w:t>Campbell Soup Company 2015 Long-Term Incentive Plan is incorporated by reference to Campbell’s 2015 Proxy Statement (SEC file</w:t>
              </w:r>
            </w:hyperlink>
          </w:p>
        </w:tc>
      </w:tr>
      <w:tr>
        <w:trPr>
          <w:trHeight w:val="156"/>
        </w:trPr>
        <w:tc>
          <w:tcPr>
            <w:tcW w:w="1180" w:type="dxa"/>
            <w:vAlign w:val="bottom"/>
          </w:tcPr>
          <w:p>
            <w:pPr>
              <w:spacing w:after="0"/>
              <w:rPr>
                <w:sz w:val="13"/>
                <w:szCs w:val="13"/>
                <w:color w:val="auto"/>
              </w:rPr>
            </w:pPr>
          </w:p>
        </w:tc>
        <w:tc>
          <w:tcPr>
            <w:tcW w:w="101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number 1-3822) filed with the SEC on October 9, 2015.</w:t>
              </w:r>
            </w:hyperlink>
          </w:p>
        </w:tc>
        <w:tc>
          <w:tcPr>
            <w:tcW w:w="160" w:type="dxa"/>
            <w:vAlign w:val="bottom"/>
            <w:gridSpan w:val="8"/>
          </w:tcPr>
          <w:p>
            <w:pPr>
              <w:spacing w:after="0"/>
              <w:rPr>
                <w:sz w:val="13"/>
                <w:szCs w:val="13"/>
                <w:color w:val="auto"/>
              </w:rPr>
            </w:pPr>
          </w:p>
        </w:tc>
      </w:tr>
      <w:tr>
        <w:trPr>
          <w:trHeight w:val="803"/>
        </w:trPr>
        <w:tc>
          <w:tcPr>
            <w:tcW w:w="1180" w:type="dxa"/>
            <w:vAlign w:val="bottom"/>
          </w:tcPr>
          <w:p>
            <w:pPr>
              <w:spacing w:after="0"/>
              <w:rPr>
                <w:sz w:val="24"/>
                <w:szCs w:val="24"/>
                <w:color w:val="auto"/>
              </w:rPr>
            </w:pPr>
          </w:p>
        </w:tc>
        <w:tc>
          <w:tcPr>
            <w:tcW w:w="4020" w:type="dxa"/>
            <w:vAlign w:val="bottom"/>
            <w:tcBorders>
              <w:top w:val="single" w:sz="8" w:color="0000FF"/>
            </w:tcBorders>
            <w:gridSpan w:val="5"/>
          </w:tcPr>
          <w:p>
            <w:pPr>
              <w:spacing w:after="0"/>
              <w:rPr>
                <w:sz w:val="24"/>
                <w:szCs w:val="24"/>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color w:val="auto"/>
              </w:rPr>
              <w:t>85</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10(c)+</w:t>
            </w:r>
          </w:p>
        </w:tc>
        <w:tc>
          <w:tcPr>
            <w:tcW w:w="10360" w:type="dxa"/>
            <w:vAlign w:val="bottom"/>
            <w:gridSpan w:val="38"/>
          </w:tcPr>
          <w:p>
            <w:pPr>
              <w:spacing w:after="0"/>
              <w:rPr>
                <w:rFonts w:ascii="Arial" w:cs="Arial" w:eastAsia="Arial" w:hAnsi="Arial"/>
                <w:sz w:val="18"/>
                <w:szCs w:val="18"/>
                <w:color w:val="0000FF"/>
                <w:w w:val="96"/>
              </w:rPr>
            </w:pPr>
            <w:hyperlink r:id="rId130">
              <w:r>
                <w:rPr>
                  <w:rFonts w:ascii="Arial" w:cs="Arial" w:eastAsia="Arial" w:hAnsi="Arial"/>
                  <w:sz w:val="18"/>
                  <w:szCs w:val="18"/>
                  <w:color w:val="0000FF"/>
                  <w:w w:val="96"/>
                </w:rPr>
                <w:t>Campbell Soup Company Annual Incentive Plan, as amended on November 19, 2014, is incorporated by reference to Campbell’s 2014</w:t>
              </w:r>
            </w:hyperlink>
          </w:p>
        </w:tc>
      </w:tr>
      <w:tr>
        <w:trPr>
          <w:trHeight w:val="156"/>
        </w:trPr>
        <w:tc>
          <w:tcPr>
            <w:tcW w:w="1080" w:type="dxa"/>
            <w:vAlign w:val="bottom"/>
          </w:tcPr>
          <w:p>
            <w:pPr>
              <w:spacing w:after="0"/>
              <w:rPr>
                <w:sz w:val="13"/>
                <w:szCs w:val="13"/>
                <w:color w:val="auto"/>
              </w:rPr>
            </w:pPr>
          </w:p>
        </w:tc>
        <w:tc>
          <w:tcPr>
            <w:tcW w:w="102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Proxy Statement (SEC file number 1-3822) filed with the SEC on October 1,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10(d)+</w:t>
            </w:r>
          </w:p>
        </w:tc>
        <w:tc>
          <w:tcPr>
            <w:tcW w:w="10360" w:type="dxa"/>
            <w:vAlign w:val="bottom"/>
            <w:gridSpan w:val="38"/>
          </w:tcPr>
          <w:p>
            <w:pPr>
              <w:spacing w:after="0"/>
              <w:rPr>
                <w:rFonts w:ascii="Arial" w:cs="Arial" w:eastAsia="Arial" w:hAnsi="Arial"/>
                <w:sz w:val="18"/>
                <w:szCs w:val="18"/>
                <w:color w:val="0000FF"/>
                <w:w w:val="97"/>
              </w:rPr>
            </w:pPr>
            <w:hyperlink r:id="rId131">
              <w:r>
                <w:rPr>
                  <w:rFonts w:ascii="Arial" w:cs="Arial" w:eastAsia="Arial" w:hAnsi="Arial"/>
                  <w:sz w:val="18"/>
                  <w:szCs w:val="18"/>
                  <w:color w:val="0000FF"/>
                  <w:w w:val="97"/>
                </w:rPr>
                <w:t>Campbell Soup Company Mid-Career Hire Pension Plan, as amended and restated effective as of January 1, 2009, is incorporated by</w:t>
              </w:r>
            </w:hyperlink>
          </w:p>
        </w:tc>
      </w:tr>
      <w:tr>
        <w:trPr>
          <w:trHeight w:val="155"/>
        </w:trPr>
        <w:tc>
          <w:tcPr>
            <w:tcW w:w="108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reference to Exhibit 10(a) to Campbell’s Form 10-Q (SEC file number 1-3822) for the fiscal quarter ended February 1, 2009.</w:t>
              </w:r>
            </w:hyperlink>
          </w:p>
        </w:tc>
        <w:tc>
          <w:tcPr>
            <w:tcW w:w="11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10(e)+</w:t>
            </w:r>
          </w:p>
        </w:tc>
        <w:tc>
          <w:tcPr>
            <w:tcW w:w="10360" w:type="dxa"/>
            <w:vAlign w:val="bottom"/>
            <w:gridSpan w:val="38"/>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First Amendment to the Campbell Soup Company Mid-Career Hire Pension Plan, effective as of December 31, 2010, is incorporated by</w:t>
              </w:r>
            </w:hyperlink>
          </w:p>
        </w:tc>
      </w:tr>
      <w:tr>
        <w:trPr>
          <w:trHeight w:val="155"/>
        </w:trPr>
        <w:tc>
          <w:tcPr>
            <w:tcW w:w="1080" w:type="dxa"/>
            <w:vAlign w:val="bottom"/>
          </w:tcPr>
          <w:p>
            <w:pPr>
              <w:spacing w:after="0"/>
              <w:rPr>
                <w:sz w:val="13"/>
                <w:szCs w:val="13"/>
                <w:color w:val="auto"/>
              </w:rPr>
            </w:pPr>
          </w:p>
        </w:tc>
        <w:tc>
          <w:tcPr>
            <w:tcW w:w="102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reference to Exhibit 10(a) to Campbell’s Form 10-Q (SEC file number 1-3822) for the fiscal quarter ended January 30,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10(f)+</w:t>
            </w:r>
          </w:p>
        </w:tc>
        <w:tc>
          <w:tcPr>
            <w:tcW w:w="10360" w:type="dxa"/>
            <w:vAlign w:val="bottom"/>
            <w:gridSpan w:val="38"/>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Deferred Compensation Plan, effective November 18, 1999, is incorporated herein by reference to Exhibit 10(e) to Campbell’s Form 10-K</w:t>
              </w:r>
            </w:hyperlink>
          </w:p>
        </w:tc>
      </w:tr>
      <w:tr>
        <w:trPr>
          <w:trHeight w:val="156"/>
        </w:trPr>
        <w:tc>
          <w:tcPr>
            <w:tcW w:w="10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(SEC file number 1-3822) for the fiscal year ended July 30, 2000.</w:t>
              </w:r>
            </w:hyperlink>
          </w:p>
        </w:tc>
        <w:tc>
          <w:tcPr>
            <w:tcW w:w="54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10(g)+</w:t>
            </w:r>
          </w:p>
        </w:tc>
        <w:tc>
          <w:tcPr>
            <w:tcW w:w="10360" w:type="dxa"/>
            <w:vAlign w:val="bottom"/>
            <w:gridSpan w:val="38"/>
          </w:tcPr>
          <w:p>
            <w:pPr>
              <w:spacing w:after="0"/>
              <w:rPr>
                <w:rFonts w:ascii="Arial" w:cs="Arial" w:eastAsia="Arial" w:hAnsi="Arial"/>
                <w:sz w:val="18"/>
                <w:szCs w:val="18"/>
                <w:color w:val="0000FF"/>
                <w:w w:val="95"/>
              </w:rPr>
            </w:pPr>
            <w:hyperlink r:id="rId134">
              <w:r>
                <w:rPr>
                  <w:rFonts w:ascii="Arial" w:cs="Arial" w:eastAsia="Arial" w:hAnsi="Arial"/>
                  <w:sz w:val="18"/>
                  <w:szCs w:val="18"/>
                  <w:color w:val="0000FF"/>
                  <w:w w:val="95"/>
                </w:rPr>
                <w:t>Campbell Soup Company Supplemental Retirement Plan (formerly known as Deferred Compensation Plan II), as amended and restated</w:t>
              </w:r>
            </w:hyperlink>
          </w:p>
        </w:tc>
      </w:tr>
      <w:tr>
        <w:trPr>
          <w:trHeight w:val="156"/>
        </w:trPr>
        <w:tc>
          <w:tcPr>
            <w:tcW w:w="108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effective as of August 1, 2015, is incorporated herein by reference to Exhibit 4(c) to Campbell’s Form S-8 (SEC file number 333-216582)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2720" w:type="dxa"/>
            <w:vAlign w:val="bottom"/>
            <w:tcBorders>
              <w:bottom w:val="single" w:sz="8" w:color="0000FF"/>
            </w:tcBorders>
            <w:gridSpan w:val="3"/>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filed with the SEC on March 9, 2017.</w:t>
              </w:r>
            </w:hyperlink>
          </w:p>
        </w:tc>
        <w:tc>
          <w:tcPr>
            <w:tcW w:w="7580" w:type="dxa"/>
            <w:vAlign w:val="bottom"/>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10(h)+</w:t>
            </w:r>
          </w:p>
        </w:tc>
        <w:tc>
          <w:tcPr>
            <w:tcW w:w="10360" w:type="dxa"/>
            <w:vAlign w:val="bottom"/>
            <w:gridSpan w:val="38"/>
          </w:tcPr>
          <w:p>
            <w:pPr>
              <w:spacing w:after="0"/>
              <w:rPr>
                <w:rFonts w:ascii="Arial" w:cs="Arial" w:eastAsia="Arial" w:hAnsi="Arial"/>
                <w:sz w:val="18"/>
                <w:szCs w:val="18"/>
                <w:color w:val="0000FF"/>
                <w:w w:val="98"/>
              </w:rPr>
            </w:pPr>
            <w:hyperlink r:id="rId135">
              <w:r>
                <w:rPr>
                  <w:rFonts w:ascii="Arial" w:cs="Arial" w:eastAsia="Arial" w:hAnsi="Arial"/>
                  <w:sz w:val="18"/>
                  <w:szCs w:val="18"/>
                  <w:color w:val="0000FF"/>
                  <w:w w:val="98"/>
                </w:rPr>
                <w:t>Form of Severance Protection Agreement is incorporated by reference to Exhibit 10(i) to Campbell's Form 10-K (SEC file number 1-</w:t>
              </w:r>
            </w:hyperlink>
          </w:p>
        </w:tc>
      </w:tr>
      <w:tr>
        <w:trPr>
          <w:trHeight w:val="156"/>
        </w:trPr>
        <w:tc>
          <w:tcPr>
            <w:tcW w:w="108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3822) for the fiscal year ended July 30, 2017.</w:t>
              </w:r>
            </w:hyperlink>
          </w:p>
        </w:tc>
        <w:tc>
          <w:tcPr>
            <w:tcW w:w="700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10(i)+</w:t>
            </w:r>
          </w:p>
        </w:tc>
        <w:tc>
          <w:tcPr>
            <w:tcW w:w="10360" w:type="dxa"/>
            <w:vAlign w:val="bottom"/>
            <w:gridSpan w:val="38"/>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Form of Amendment to the Severance Protection Agreement is incorporated by reference to Exhibit 10(j) to Campbell's Form 10-K (SEC</w:t>
              </w:r>
            </w:hyperlink>
          </w:p>
        </w:tc>
      </w:tr>
      <w:tr>
        <w:trPr>
          <w:trHeight w:val="156"/>
        </w:trPr>
        <w:tc>
          <w:tcPr>
            <w:tcW w:w="1080" w:type="dxa"/>
            <w:vAlign w:val="bottom"/>
          </w:tcPr>
          <w:p>
            <w:pPr>
              <w:spacing w:after="0"/>
              <w:rPr>
                <w:sz w:val="13"/>
                <w:szCs w:val="13"/>
                <w:color w:val="auto"/>
              </w:rPr>
            </w:pPr>
          </w:p>
        </w:tc>
        <w:tc>
          <w:tcPr>
            <w:tcW w:w="102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file number) for the fiscal year ended July 30, 2017.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10(j)+</w:t>
            </w:r>
          </w:p>
        </w:tc>
        <w:tc>
          <w:tcPr>
            <w:tcW w:w="10360" w:type="dxa"/>
            <w:vAlign w:val="bottom"/>
            <w:gridSpan w:val="38"/>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Form of U.S. Severance Protection Agreement is incorporated by reference to Exhibit 10(m) to Campbell’s Form 10-K (SEC file number</w:t>
              </w:r>
            </w:hyperlink>
          </w:p>
        </w:tc>
      </w:tr>
      <w:tr>
        <w:trPr>
          <w:trHeight w:val="156"/>
        </w:trPr>
        <w:tc>
          <w:tcPr>
            <w:tcW w:w="10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1-3822) for the fiscal year ended July 31, 2011.</w:t>
              </w:r>
            </w:hyperlink>
          </w:p>
        </w:tc>
        <w:tc>
          <w:tcPr>
            <w:tcW w:w="66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10(k)+</w:t>
            </w:r>
          </w:p>
        </w:tc>
        <w:tc>
          <w:tcPr>
            <w:tcW w:w="10360" w:type="dxa"/>
            <w:vAlign w:val="bottom"/>
            <w:gridSpan w:val="38"/>
          </w:tcPr>
          <w:p>
            <w:pPr>
              <w:spacing w:after="0"/>
              <w:rPr>
                <w:rFonts w:ascii="Arial" w:cs="Arial" w:eastAsia="Arial" w:hAnsi="Arial"/>
                <w:sz w:val="18"/>
                <w:szCs w:val="18"/>
                <w:color w:val="0000FF"/>
                <w:w w:val="98"/>
              </w:rPr>
            </w:pPr>
            <w:hyperlink r:id="rId138">
              <w:r>
                <w:rPr>
                  <w:rFonts w:ascii="Arial" w:cs="Arial" w:eastAsia="Arial" w:hAnsi="Arial"/>
                  <w:sz w:val="18"/>
                  <w:szCs w:val="18"/>
                  <w:color w:val="0000FF"/>
                  <w:w w:val="98"/>
                </w:rPr>
                <w:t>Form of Amendment to U.S. Severance Protection Agreement is incorporated by reference to Exhibit 10(o) to Campbell's Form 10-K</w:t>
              </w:r>
            </w:hyperlink>
          </w:p>
        </w:tc>
      </w:tr>
      <w:tr>
        <w:trPr>
          <w:trHeight w:val="155"/>
        </w:trPr>
        <w:tc>
          <w:tcPr>
            <w:tcW w:w="108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(SEC file number 1-3822) for the fiscal year ended July 31, 2016.</w:t>
              </w:r>
            </w:hyperlink>
          </w:p>
        </w:tc>
        <w:tc>
          <w:tcPr>
            <w:tcW w:w="558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10(l)+</w:t>
            </w:r>
          </w:p>
        </w:tc>
        <w:tc>
          <w:tcPr>
            <w:tcW w:w="10360" w:type="dxa"/>
            <w:vAlign w:val="bottom"/>
            <w:gridSpan w:val="38"/>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Campbell Soup Company Supplemental Employees’ Retirement Plan, as amended and restated effective January 1, 2009, is incorporated</w:t>
              </w:r>
            </w:hyperlink>
          </w:p>
        </w:tc>
      </w:tr>
      <w:tr>
        <w:trPr>
          <w:trHeight w:val="155"/>
        </w:trPr>
        <w:tc>
          <w:tcPr>
            <w:tcW w:w="108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by reference to Exhibit 10(c) to Campbell’s Form 10-Q (SEC file number 1-3822) for the fiscal quarter ended February 1,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74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10(m)+</w:t>
            </w:r>
          </w:p>
        </w:tc>
        <w:tc>
          <w:tcPr>
            <w:tcW w:w="10360" w:type="dxa"/>
            <w:vAlign w:val="bottom"/>
            <w:gridSpan w:val="38"/>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First Amendment to the Campbell Soup Company Supplemental Employees’ Retirement Plan, effective as of December 31, 2010, is</w:t>
              </w:r>
            </w:hyperlink>
          </w:p>
        </w:tc>
      </w:tr>
      <w:tr>
        <w:trPr>
          <w:trHeight w:val="155"/>
        </w:trPr>
        <w:tc>
          <w:tcPr>
            <w:tcW w:w="108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incorporated by reference to Exhibit 10(c) to Campbell’s Form 10-Q (SEC file number 1-3822) for the fiscal quarter ended January 30,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2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2011.</w:t>
              </w:r>
            </w:hyperlink>
          </w:p>
        </w:tc>
        <w:tc>
          <w:tcPr>
            <w:tcW w:w="14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Arial" w:cs="Arial" w:eastAsia="Arial" w:hAnsi="Arial"/>
                <w:sz w:val="18"/>
                <w:szCs w:val="18"/>
                <w:color w:val="auto"/>
              </w:rPr>
              <w:t>10(n)+</w:t>
            </w:r>
          </w:p>
        </w:tc>
        <w:tc>
          <w:tcPr>
            <w:tcW w:w="10360" w:type="dxa"/>
            <w:vAlign w:val="bottom"/>
            <w:gridSpan w:val="38"/>
          </w:tcPr>
          <w:p>
            <w:pPr>
              <w:spacing w:after="0"/>
              <w:rPr>
                <w:rFonts w:ascii="Arial" w:cs="Arial" w:eastAsia="Arial" w:hAnsi="Arial"/>
                <w:sz w:val="18"/>
                <w:szCs w:val="18"/>
                <w:color w:val="0000FF"/>
                <w:w w:val="96"/>
              </w:rPr>
            </w:pPr>
            <w:hyperlink r:id="rId141">
              <w:r>
                <w:rPr>
                  <w:rFonts w:ascii="Arial" w:cs="Arial" w:eastAsia="Arial" w:hAnsi="Arial"/>
                  <w:sz w:val="18"/>
                  <w:szCs w:val="18"/>
                  <w:color w:val="0000FF"/>
                  <w:w w:val="96"/>
                </w:rPr>
                <w:t>Form of 2005 Long-Term Incentive Plan Nonqualified Stock Option Agreement is incorporated by reference to Exhibit 10 to Campbell's</w:t>
              </w:r>
            </w:hyperlink>
          </w:p>
        </w:tc>
      </w:tr>
      <w:tr>
        <w:trPr>
          <w:trHeight w:val="155"/>
        </w:trPr>
        <w:tc>
          <w:tcPr>
            <w:tcW w:w="108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Form 10-Q (SEC file number 1-3822) for the fiscal quarter ended November 1, 2015.</w:t>
              </w:r>
            </w:hyperlink>
          </w:p>
        </w:tc>
        <w:tc>
          <w:tcPr>
            <w:tcW w:w="408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10(o)+</w:t>
            </w:r>
          </w:p>
        </w:tc>
        <w:tc>
          <w:tcPr>
            <w:tcW w:w="10360" w:type="dxa"/>
            <w:vAlign w:val="bottom"/>
            <w:gridSpan w:val="38"/>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Form of 2015 Long-Term Incentive Plan Nonqualified Stock Option Agreement is incorporated by reference to Exhibit 10(dd) to</w:t>
              </w:r>
            </w:hyperlink>
          </w:p>
        </w:tc>
      </w:tr>
      <w:tr>
        <w:trPr>
          <w:trHeight w:val="155"/>
        </w:trPr>
        <w:tc>
          <w:tcPr>
            <w:tcW w:w="108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Campbell's Form 10-K (SEC file number 1-3822) for the fiscal year ended July 31, 2016.</w:t>
              </w:r>
            </w:hyperlink>
          </w:p>
        </w:tc>
        <w:tc>
          <w:tcPr>
            <w:tcW w:w="35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10(p)+</w:t>
            </w:r>
          </w:p>
        </w:tc>
        <w:tc>
          <w:tcPr>
            <w:tcW w:w="10360" w:type="dxa"/>
            <w:vAlign w:val="bottom"/>
            <w:gridSpan w:val="38"/>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Form of 2015 Long-Term Incentive Plan Performance Stock Unit Agreement (Earnings Per Share) is incorporated by reference to Exhibit</w:t>
              </w:r>
            </w:hyperlink>
          </w:p>
        </w:tc>
      </w:tr>
      <w:tr>
        <w:trPr>
          <w:trHeight w:val="156"/>
        </w:trPr>
        <w:tc>
          <w:tcPr>
            <w:tcW w:w="108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10(b) to Campbell's Form 10-Q (SEC file number 1-3822) for the fiscal quarter ended October 30, 2016.</w:t>
              </w:r>
            </w:hyperlink>
          </w:p>
        </w:tc>
        <w:tc>
          <w:tcPr>
            <w:tcW w:w="26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10(q)+</w:t>
            </w:r>
          </w:p>
        </w:tc>
        <w:tc>
          <w:tcPr>
            <w:tcW w:w="10360" w:type="dxa"/>
            <w:vAlign w:val="bottom"/>
            <w:gridSpan w:val="38"/>
          </w:tcPr>
          <w:p>
            <w:pPr>
              <w:spacing w:after="0"/>
              <w:rPr>
                <w:rFonts w:ascii="Arial" w:cs="Arial" w:eastAsia="Arial" w:hAnsi="Arial"/>
                <w:sz w:val="18"/>
                <w:szCs w:val="18"/>
                <w:color w:val="0000FF"/>
                <w:w w:val="96"/>
              </w:rPr>
            </w:pPr>
            <w:hyperlink r:id="rId144">
              <w:r>
                <w:rPr>
                  <w:rFonts w:ascii="Arial" w:cs="Arial" w:eastAsia="Arial" w:hAnsi="Arial"/>
                  <w:sz w:val="18"/>
                  <w:szCs w:val="18"/>
                  <w:color w:val="0000FF"/>
                  <w:w w:val="96"/>
                </w:rPr>
                <w:t>Form of 2015 Long-Term Incentive Plan Performance Stock Unit Agreement (Total Shareholder Return) is incorporated by reference to</w:t>
              </w:r>
            </w:hyperlink>
          </w:p>
        </w:tc>
      </w:tr>
      <w:tr>
        <w:trPr>
          <w:trHeight w:val="155"/>
        </w:trPr>
        <w:tc>
          <w:tcPr>
            <w:tcW w:w="108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Exhibit 10(ff) to Campbell’s Form 10-K (SEC file number 1-3822) for the fiscal year ended July 31, 2016.</w:t>
              </w:r>
            </w:hyperlink>
          </w:p>
        </w:tc>
        <w:tc>
          <w:tcPr>
            <w:tcW w:w="238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10(r)+</w:t>
            </w:r>
          </w:p>
        </w:tc>
        <w:tc>
          <w:tcPr>
            <w:tcW w:w="10360" w:type="dxa"/>
            <w:vAlign w:val="bottom"/>
            <w:gridSpan w:val="38"/>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Form of 2015 Long-Term Incentive Plan Time-Lapse Restricted Stock Unit Agreement is incorporated by reference to Exhibit 10(c) to</w:t>
              </w:r>
            </w:hyperlink>
          </w:p>
        </w:tc>
      </w:tr>
      <w:tr>
        <w:trPr>
          <w:trHeight w:val="156"/>
        </w:trPr>
        <w:tc>
          <w:tcPr>
            <w:tcW w:w="108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Campbell's Form 10-Q (SEC file number 1-3822) for the fiscal quarter ended October 30, 2016.</w:t>
              </w:r>
            </w:hyperlink>
          </w:p>
        </w:tc>
        <w:tc>
          <w:tcPr>
            <w:tcW w:w="32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10(s)+</w:t>
            </w:r>
          </w:p>
        </w:tc>
        <w:tc>
          <w:tcPr>
            <w:tcW w:w="10360" w:type="dxa"/>
            <w:vAlign w:val="bottom"/>
            <w:gridSpan w:val="38"/>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Form of 2015 Long-Term Incentive Plan Time-Lapse Restricted Stock Unit Agreement.</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10(t)+</w:t>
            </w:r>
          </w:p>
        </w:tc>
        <w:tc>
          <w:tcPr>
            <w:tcW w:w="60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Form of 2015 Long-Term Incentive Performance Restricted Stock Unit Agreement.</w:t>
              </w:r>
            </w:hyperlink>
          </w:p>
        </w:tc>
        <w:tc>
          <w:tcPr>
            <w:tcW w:w="300" w:type="dxa"/>
            <w:vAlign w:val="bottom"/>
            <w:tcBorders>
              <w:top w:val="single" w:sz="8" w:color="0000FF"/>
            </w:tcBorders>
            <w:gridSpan w:val="2"/>
          </w:tcPr>
          <w:p>
            <w:pPr>
              <w:spacing w:after="0"/>
              <w:rPr>
                <w:sz w:val="18"/>
                <w:szCs w:val="18"/>
                <w:color w:val="auto"/>
              </w:rPr>
            </w:pPr>
          </w:p>
        </w:tc>
        <w:tc>
          <w:tcPr>
            <w:tcW w:w="4040" w:type="dxa"/>
            <w:vAlign w:val="bottom"/>
            <w:gridSpan w:val="26"/>
          </w:tcPr>
          <w:p>
            <w:pPr>
              <w:spacing w:after="0"/>
              <w:rPr>
                <w:sz w:val="18"/>
                <w:szCs w:val="18"/>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10(u)+</w:t>
            </w:r>
          </w:p>
        </w:tc>
        <w:tc>
          <w:tcPr>
            <w:tcW w:w="10360" w:type="dxa"/>
            <w:vAlign w:val="bottom"/>
            <w:gridSpan w:val="38"/>
          </w:tcPr>
          <w:p>
            <w:pPr>
              <w:spacing w:after="0"/>
              <w:rPr>
                <w:rFonts w:ascii="Arial" w:cs="Arial" w:eastAsia="Arial" w:hAnsi="Arial"/>
                <w:sz w:val="18"/>
                <w:szCs w:val="18"/>
                <w:color w:val="0000FF"/>
                <w:w w:val="98"/>
              </w:rPr>
            </w:pPr>
            <w:hyperlink r:id="rId146">
              <w:r>
                <w:rPr>
                  <w:rFonts w:ascii="Arial" w:cs="Arial" w:eastAsia="Arial" w:hAnsi="Arial"/>
                  <w:sz w:val="18"/>
                  <w:szCs w:val="18"/>
                  <w:color w:val="0000FF"/>
                  <w:w w:val="98"/>
                </w:rPr>
                <w:t>Severance Agreement and General Release executed November 25, 2019 by and between Anthony DiSilvestro and Campbell Soup</w:t>
              </w:r>
            </w:hyperlink>
          </w:p>
        </w:tc>
      </w:tr>
      <w:tr>
        <w:trPr>
          <w:trHeight w:val="156"/>
        </w:trPr>
        <w:tc>
          <w:tcPr>
            <w:tcW w:w="108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5"/>
              </w:rPr>
            </w:pPr>
            <w:hyperlink r:id="rId146">
              <w:r>
                <w:rPr>
                  <w:rFonts w:ascii="Arial" w:cs="Arial" w:eastAsia="Arial" w:hAnsi="Arial"/>
                  <w:sz w:val="18"/>
                  <w:szCs w:val="18"/>
                  <w:color w:val="0000FF"/>
                  <w:w w:val="95"/>
                </w:rPr>
                <w:t>Company is incorporated by reference to Exhibit 10.2 to Campbell's Form 10-Q (SEC file number 1-3822) for the fiscal quarter ended</w:t>
              </w:r>
            </w:hyperlink>
          </w:p>
        </w:tc>
        <w:tc>
          <w:tcPr>
            <w:tcW w:w="180" w:type="dxa"/>
            <w:vAlign w:val="bottom"/>
            <w:tcBorders>
              <w:bottom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0340" w:type="dxa"/>
            <w:vAlign w:val="bottom"/>
            <w:gridSpan w:val="37"/>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January 26, 2020.</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130810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107" w:right="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10(v)</w:t>
            </w:r>
          </w:p>
        </w:tc>
        <w:tc>
          <w:tcPr>
            <w:tcW w:w="10100" w:type="dxa"/>
            <w:vAlign w:val="bottom"/>
            <w:gridSpan w:val="17"/>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Three-Year Credit Agreement, dated November 2, 2020, by and among Campbell Soup Company, the Eligible Subsidiaries party thereto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from time to time, JPMorgan Chase Bank, N.A., as administrative agent, and the other lenders named therein, incorporated by reference</w:t>
              </w:r>
            </w:hyperlink>
          </w:p>
        </w:tc>
        <w:tc>
          <w:tcPr>
            <w:tcW w:w="260" w:type="dxa"/>
            <w:vAlign w:val="bottom"/>
            <w:gridSpan w:val="8"/>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Registrant's Current Report on Form 8-K (SEC file number 1-3822) filed with the SEC on November 2, 2020.</w:t>
              </w:r>
            </w:hyperlink>
          </w:p>
        </w:tc>
        <w:tc>
          <w:tcPr>
            <w:tcW w:w="20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10(w)</w:t>
            </w:r>
          </w:p>
        </w:tc>
        <w:tc>
          <w:tcPr>
            <w:tcW w:w="10100" w:type="dxa"/>
            <w:vAlign w:val="bottom"/>
            <w:tcBorders>
              <w:bottom w:val="single" w:sz="8" w:color="0000FF"/>
            </w:tcBorders>
            <w:gridSpan w:val="17"/>
          </w:tcPr>
          <w:p>
            <w:pPr>
              <w:spacing w:after="0"/>
              <w:rPr>
                <w:rFonts w:ascii="Arial" w:cs="Arial" w:eastAsia="Arial" w:hAnsi="Arial"/>
                <w:sz w:val="18"/>
                <w:szCs w:val="18"/>
                <w:color w:val="0000FF"/>
                <w:w w:val="96"/>
              </w:rPr>
            </w:pPr>
            <w:hyperlink r:id="rId149">
              <w:r>
                <w:rPr>
                  <w:rFonts w:ascii="Arial" w:cs="Arial" w:eastAsia="Arial" w:hAnsi="Arial"/>
                  <w:sz w:val="18"/>
                  <w:szCs w:val="18"/>
                  <w:color w:val="0000FF"/>
                  <w:w w:val="96"/>
                </w:rPr>
                <w:t>Support Agreement, dated November 26, 2018, by and among Campbell Soup Company and Third Point LLC, Third Point Partners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100" w:type="dxa"/>
            <w:vAlign w:val="bottom"/>
            <w:gridSpan w:val="17"/>
          </w:tcPr>
          <w:p>
            <w:pPr>
              <w:spacing w:after="0" w:line="156"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Qualified L.P., Third Point Partners L.P., Third Point Offshore Master Fund L.P., Third Point Ultra Master Fund L.P., Third Point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20" w:type="dxa"/>
            <w:vAlign w:val="bottom"/>
            <w:tcBorders>
              <w:top w:val="single" w:sz="8" w:color="0000FF"/>
            </w:tcBorders>
            <w:gridSpan w:val="13"/>
          </w:tcPr>
          <w:p>
            <w:pPr>
              <w:spacing w:after="0" w:line="156" w:lineRule="exact"/>
              <w:rPr>
                <w:rFonts w:ascii="Arial" w:cs="Arial" w:eastAsia="Arial" w:hAnsi="Arial"/>
                <w:sz w:val="18"/>
                <w:szCs w:val="18"/>
                <w:color w:val="0000FF"/>
                <w:w w:val="97"/>
              </w:rPr>
            </w:pPr>
            <w:hyperlink r:id="rId149">
              <w:r>
                <w:rPr>
                  <w:rFonts w:ascii="Arial" w:cs="Arial" w:eastAsia="Arial" w:hAnsi="Arial"/>
                  <w:sz w:val="18"/>
                  <w:szCs w:val="18"/>
                  <w:color w:val="0000FF"/>
                  <w:w w:val="97"/>
                </w:rPr>
                <w:t>Enhanced L.P., Third Point Advisors LLC, Third Point Advisors II LLC and the Revocable Trust of Goerge Strawbridge, Jr.,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January 21, 1991 is incorporated by reference to Exhibit 10.1 to Campbell's Form 8-K (SEC file number 1-3822) filed with the SEC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80" w:type="dxa"/>
            <w:vAlign w:val="bottom"/>
            <w:gridSpan w:val="1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November 26,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color w:val="auto"/>
              </w:rPr>
              <w:t>10(x)</w:t>
            </w:r>
          </w:p>
        </w:tc>
        <w:tc>
          <w:tcPr>
            <w:tcW w:w="14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vMerge w:val="continue"/>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2021 Non-Employee Director Fees are incorporated by reference to Exhibit 10.2 to Campbell’s Form 10-Q (SEC file number 1-3822) for</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99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the fiscal quarter ended November 1, 2020.</w:t>
              </w:r>
            </w:hyperlink>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10(y)+</w:t>
            </w:r>
          </w:p>
        </w:tc>
        <w:tc>
          <w:tcPr>
            <w:tcW w:w="10100" w:type="dxa"/>
            <w:vAlign w:val="bottom"/>
            <w:gridSpan w:val="17"/>
          </w:tcPr>
          <w:p>
            <w:pPr>
              <w:spacing w:after="0"/>
              <w:rPr>
                <w:rFonts w:ascii="Arial" w:cs="Arial" w:eastAsia="Arial" w:hAnsi="Arial"/>
                <w:sz w:val="18"/>
                <w:szCs w:val="18"/>
                <w:color w:val="0000FF"/>
                <w:w w:val="98"/>
              </w:rPr>
            </w:pPr>
            <w:hyperlink r:id="rId151">
              <w:r>
                <w:rPr>
                  <w:rFonts w:ascii="Arial" w:cs="Arial" w:eastAsia="Arial" w:hAnsi="Arial"/>
                  <w:sz w:val="18"/>
                  <w:szCs w:val="18"/>
                  <w:color w:val="0000FF"/>
                  <w:w w:val="98"/>
                </w:rPr>
                <w:t>First Amendment to the Campbell Soup Company Supplemental Retirement Plan effective November 30, 2018 is incorporated by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reference to Exhibit 10(b) to Campbell's Form 10-Q (SEC file number 1-3822) for the fiscal quarter ended January 27,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restart"/>
          </w:tcPr>
          <w:p>
            <w:pPr>
              <w:spacing w:after="0"/>
              <w:rPr>
                <w:sz w:val="20"/>
                <w:szCs w:val="20"/>
                <w:color w:val="auto"/>
              </w:rPr>
            </w:pPr>
            <w:r>
              <w:rPr>
                <w:rFonts w:ascii="Arial" w:cs="Arial" w:eastAsia="Arial" w:hAnsi="Arial"/>
                <w:sz w:val="18"/>
                <w:szCs w:val="18"/>
                <w:color w:val="auto"/>
              </w:rPr>
              <w:t>10(z)+</w:t>
            </w:r>
          </w:p>
        </w:tc>
        <w:tc>
          <w:tcPr>
            <w:tcW w:w="10100" w:type="dxa"/>
            <w:vAlign w:val="bottom"/>
            <w:gridSpan w:val="17"/>
          </w:tcPr>
          <w:p>
            <w:pPr>
              <w:spacing w:after="0"/>
              <w:rPr>
                <w:rFonts w:ascii="Arial" w:cs="Arial" w:eastAsia="Arial" w:hAnsi="Arial"/>
                <w:sz w:val="18"/>
                <w:szCs w:val="18"/>
                <w:color w:val="0000FF"/>
                <w:w w:val="95"/>
              </w:rPr>
            </w:pPr>
            <w:hyperlink r:id="rId152">
              <w:r>
                <w:rPr>
                  <w:rFonts w:ascii="Arial" w:cs="Arial" w:eastAsia="Arial" w:hAnsi="Arial"/>
                  <w:sz w:val="18"/>
                  <w:szCs w:val="18"/>
                  <w:color w:val="0000FF"/>
                  <w:w w:val="95"/>
                </w:rPr>
                <w:t>Second Amendment to the Campbell Soup Company Supplemental Retirement Plan effective September 16, 2020 is incorporated by</w:t>
              </w:r>
            </w:hyperlink>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95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reference to Exhibit 10(bb) to Campbell's Form 10-K (SEC file number 1-3822) for the fiscal year ended August 2, 2020.</w:t>
              </w:r>
            </w:hyperlink>
          </w:p>
        </w:tc>
        <w:tc>
          <w:tcPr>
            <w:tcW w:w="4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restart"/>
          </w:tcPr>
          <w:p>
            <w:pPr>
              <w:spacing w:after="0"/>
              <w:rPr>
                <w:sz w:val="20"/>
                <w:szCs w:val="20"/>
                <w:color w:val="auto"/>
              </w:rPr>
            </w:pPr>
            <w:r>
              <w:rPr>
                <w:rFonts w:ascii="Arial" w:cs="Arial" w:eastAsia="Arial" w:hAnsi="Arial"/>
                <w:sz w:val="18"/>
                <w:szCs w:val="18"/>
                <w:color w:val="auto"/>
              </w:rPr>
              <w:t>10(aa)+</w:t>
            </w:r>
          </w:p>
        </w:tc>
        <w:tc>
          <w:tcPr>
            <w:tcW w:w="10100" w:type="dxa"/>
            <w:vAlign w:val="bottom"/>
            <w:gridSpan w:val="17"/>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Third Amendment to the Campbell Soup Company Supplemental Retirement Plan effective December 31, 2020 is incorporated by</w:t>
              </w:r>
            </w:hyperlink>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8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reference to Exhibit 10.1 to Campbell's Form 10-Q (SEC file number 1-3822) for the fiscal quarter ended January 31, 2021.</w:t>
              </w:r>
            </w:hyperlink>
          </w:p>
        </w:tc>
        <w:tc>
          <w:tcPr>
            <w:tcW w:w="440" w:type="dxa"/>
            <w:vAlign w:val="bottom"/>
            <w:tcBorders>
              <w:top w:val="single" w:sz="8" w:color="0000FF"/>
            </w:tcBorders>
          </w:tcPr>
          <w:p>
            <w:pPr>
              <w:spacing w:after="0"/>
              <w:rPr>
                <w:sz w:val="13"/>
                <w:szCs w:val="13"/>
                <w:color w:val="auto"/>
              </w:rPr>
            </w:pPr>
          </w:p>
        </w:tc>
        <w:tc>
          <w:tcPr>
            <w:tcW w:w="6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10(bb)+</w:t>
            </w:r>
          </w:p>
        </w:tc>
        <w:tc>
          <w:tcPr>
            <w:tcW w:w="10100" w:type="dxa"/>
            <w:vAlign w:val="bottom"/>
            <w:gridSpan w:val="17"/>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Campbell Soup Company Executive Severance Pay Plan is incorporated by reference to Exhibit 10 to Campbell's Form 8-K (SEC file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number 1-3822) filed with the SEC on April 2, 2019.</w:t>
              </w:r>
            </w:hyperlink>
          </w:p>
        </w:tc>
        <w:tc>
          <w:tcPr>
            <w:tcW w:w="62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80" w:hanging="1073"/>
        <w:spacing w:after="0"/>
        <w:tabs>
          <w:tab w:leader="none" w:pos="1080" w:val="left"/>
        </w:tabs>
        <w:numPr>
          <w:ilvl w:val="0"/>
          <w:numId w:val="63"/>
        </w:numPr>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Subsidiary List.</w:t>
        </w:r>
      </w:hyperlink>
    </w:p>
    <w:p>
      <w:pPr>
        <w:spacing w:after="0" w:line="117" w:lineRule="exact"/>
        <w:rPr>
          <w:sz w:val="20"/>
          <w:szCs w:val="20"/>
          <w:color w:val="auto"/>
        </w:rPr>
      </w:pPr>
    </w:p>
    <w:p>
      <w:pPr>
        <w:ind w:left="1080" w:hanging="1073"/>
        <w:spacing w:after="0"/>
        <w:tabs>
          <w:tab w:leader="none" w:pos="1080" w:val="left"/>
        </w:tabs>
        <w:numPr>
          <w:ilvl w:val="0"/>
          <w:numId w:val="64"/>
        </w:numPr>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Consent of Independent Registered Public Accounting Firm.</w:t>
        </w:r>
      </w:hyperlink>
    </w:p>
    <w:p>
      <w:pPr>
        <w:spacing w:after="0" w:line="117" w:lineRule="exact"/>
        <w:rPr>
          <w:rFonts w:ascii="Arial" w:cs="Arial" w:eastAsia="Arial" w:hAnsi="Arial"/>
          <w:sz w:val="18"/>
          <w:szCs w:val="18"/>
          <w:u w:val="single" w:color="auto"/>
          <w:color w:val="0000FF"/>
        </w:rPr>
      </w:pPr>
    </w:p>
    <w:p>
      <w:pPr>
        <w:ind w:left="1080" w:hanging="1073"/>
        <w:spacing w:after="0"/>
        <w:tabs>
          <w:tab w:leader="none" w:pos="1080" w:val="left"/>
        </w:tabs>
        <w:numPr>
          <w:ilvl w:val="0"/>
          <w:numId w:val="64"/>
        </w:numPr>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Powers of Attorney.</w:t>
        </w:r>
      </w:hyperlink>
    </w:p>
    <w:p>
      <w:pPr>
        <w:spacing w:after="0" w:line="10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31(a)</w:t>
            </w:r>
          </w:p>
        </w:tc>
        <w:tc>
          <w:tcPr>
            <w:tcW w:w="4340" w:type="dxa"/>
            <w:vAlign w:val="bottom"/>
            <w:tcBorders>
              <w:bottom w:val="single" w:sz="8" w:color="0000FF"/>
            </w:tcBorders>
          </w:tcPr>
          <w:p>
            <w:pPr>
              <w:spacing w:after="0"/>
              <w:rPr>
                <w:rFonts w:ascii="Arial" w:cs="Arial" w:eastAsia="Arial" w:hAnsi="Arial"/>
                <w:sz w:val="18"/>
                <w:szCs w:val="18"/>
                <w:color w:val="0000FF"/>
                <w:w w:val="92"/>
              </w:rPr>
            </w:pPr>
            <w:hyperlink w:anchor="page117">
              <w:r>
                <w:rPr>
                  <w:rFonts w:ascii="Arial" w:cs="Arial" w:eastAsia="Arial" w:hAnsi="Arial"/>
                  <w:sz w:val="18"/>
                  <w:szCs w:val="18"/>
                  <w:color w:val="0000FF"/>
                  <w:w w:val="92"/>
                </w:rPr>
                <w:t>Certification of Mark A. Clouse pursuant to Rule 13a-14(a).</w:t>
              </w:r>
            </w:hyperlink>
          </w:p>
        </w:tc>
        <w:tc>
          <w:tcPr>
            <w:tcW w:w="880" w:type="dxa"/>
            <w:vAlign w:val="bottom"/>
            <w:gridSpan w:val="3"/>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31(b)</w:t>
            </w:r>
          </w:p>
        </w:tc>
        <w:tc>
          <w:tcPr>
            <w:tcW w:w="46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18">
              <w:r>
                <w:rPr>
                  <w:rFonts w:ascii="Arial" w:cs="Arial" w:eastAsia="Arial" w:hAnsi="Arial"/>
                  <w:sz w:val="18"/>
                  <w:szCs w:val="18"/>
                  <w:color w:val="0000FF"/>
                  <w:w w:val="91"/>
                </w:rPr>
                <w:t>Certification of Mick J. Beekhuizen pursuant to Rule 13a-14(a).</w:t>
              </w:r>
            </w:hyperlink>
          </w:p>
        </w:tc>
        <w:tc>
          <w:tcPr>
            <w:tcW w:w="600" w:type="dxa"/>
            <w:vAlign w:val="bottom"/>
            <w:gridSpan w:val="2"/>
          </w:tcPr>
          <w:p>
            <w:pPr>
              <w:spacing w:after="0"/>
              <w:rPr>
                <w:sz w:val="24"/>
                <w:szCs w:val="24"/>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32(a)</w:t>
            </w:r>
          </w:p>
        </w:tc>
        <w:tc>
          <w:tcPr>
            <w:tcW w:w="5220" w:type="dxa"/>
            <w:vAlign w:val="bottom"/>
            <w:gridSpan w:val="4"/>
          </w:tcPr>
          <w:p>
            <w:pPr>
              <w:spacing w:after="0"/>
              <w:rPr>
                <w:rFonts w:ascii="Arial" w:cs="Arial" w:eastAsia="Arial" w:hAnsi="Arial"/>
                <w:sz w:val="18"/>
                <w:szCs w:val="18"/>
                <w:color w:val="0000FF"/>
                <w:w w:val="96"/>
              </w:rPr>
            </w:pPr>
            <w:hyperlink w:anchor="page119">
              <w:r>
                <w:rPr>
                  <w:rFonts w:ascii="Arial" w:cs="Arial" w:eastAsia="Arial" w:hAnsi="Arial"/>
                  <w:sz w:val="18"/>
                  <w:szCs w:val="18"/>
                  <w:color w:val="0000FF"/>
                  <w:w w:val="96"/>
                </w:rPr>
                <w:t>Certification of Mark A. Clouse pursuant to 18 U.S.C. Section 1350.</w:t>
              </w:r>
            </w:hyperlink>
          </w:p>
        </w:tc>
      </w:tr>
      <w:tr>
        <w:trPr>
          <w:trHeight w:val="20"/>
        </w:trPr>
        <w:tc>
          <w:tcPr>
            <w:tcW w:w="1080" w:type="dxa"/>
            <w:vAlign w:val="bottom"/>
          </w:tcPr>
          <w:p>
            <w:pPr>
              <w:spacing w:after="0" w:line="20" w:lineRule="exact"/>
              <w:rPr>
                <w:sz w:val="1"/>
                <w:szCs w:val="1"/>
                <w:color w:val="auto"/>
              </w:rPr>
            </w:pPr>
          </w:p>
        </w:tc>
        <w:tc>
          <w:tcPr>
            <w:tcW w:w="4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32(b)</w:t>
            </w:r>
          </w:p>
        </w:tc>
        <w:tc>
          <w:tcPr>
            <w:tcW w:w="52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Certification of Mick J. Beekhuizen pursuant to 18 U.S.C. Section 1350.</w:t>
              </w:r>
            </w:hyperlink>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2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22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22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22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22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22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107" w:lineRule="exact"/>
        <w:rPr>
          <w:sz w:val="20"/>
          <w:szCs w:val="20"/>
          <w:color w:val="auto"/>
        </w:rPr>
      </w:pPr>
    </w:p>
    <w:p>
      <w:pPr>
        <w:ind w:right="2720" w:firstLine="7"/>
        <w:spacing w:after="0" w:line="41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cover page from this Annual Report on Form 10-K, formulated in Inline XBRL (see exhibit 101) +This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130810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013" w:right="379" w:bottom="1440" w:gutter="0" w:footer="0" w:header="0"/>
        </w:sectPr>
      </w:pPr>
    </w:p>
    <w:bookmarkStart w:id="87" w:name="page88"/>
    <w:bookmarkEnd w:id="87"/>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Campbell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2021</w:t>
      </w:r>
    </w:p>
    <w:p>
      <w:pPr>
        <w:spacing w:after="0" w:line="46"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9"/>
              </w:rPr>
              <w:t>CAMPBELL SOUP COMPANY</w:t>
            </w: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/s/Mick J. Beekhuizen</w:t>
            </w:r>
          </w:p>
        </w:tc>
      </w:tr>
      <w:tr>
        <w:trPr>
          <w:trHeight w:val="222"/>
        </w:trPr>
        <w:tc>
          <w:tcPr>
            <w:tcW w:w="28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2"/>
              </w:rPr>
              <w:t>Mick J. Beekhuizen</w:t>
            </w:r>
          </w:p>
        </w:tc>
      </w:tr>
      <w:tr>
        <w:trPr>
          <w:trHeight w:val="176"/>
        </w:trPr>
        <w:tc>
          <w:tcPr>
            <w:tcW w:w="280" w:type="dxa"/>
            <w:vAlign w:val="bottom"/>
          </w:tcPr>
          <w:p>
            <w:pPr>
              <w:spacing w:after="0"/>
              <w:rPr>
                <w:sz w:val="15"/>
                <w:szCs w:val="15"/>
                <w:color w:val="auto"/>
              </w:rPr>
            </w:pPr>
          </w:p>
        </w:tc>
        <w:tc>
          <w:tcPr>
            <w:tcW w:w="4980" w:type="dxa"/>
            <w:vAlign w:val="bottom"/>
          </w:tcPr>
          <w:p>
            <w:pPr>
              <w:jc w:val="center"/>
              <w:spacing w:after="0" w:line="176" w:lineRule="exact"/>
              <w:rPr>
                <w:sz w:val="20"/>
                <w:szCs w:val="20"/>
                <w:color w:val="auto"/>
              </w:rPr>
            </w:pPr>
            <w:r>
              <w:rPr>
                <w:rFonts w:ascii="Arial" w:cs="Arial" w:eastAsia="Arial" w:hAnsi="Arial"/>
                <w:sz w:val="18"/>
                <w:szCs w:val="18"/>
                <w:color w:val="auto"/>
                <w:w w:val="92"/>
              </w:rPr>
              <w:t>Executive Vice President and Chief Financial Officer (Principal</w:t>
            </w:r>
          </w:p>
        </w:tc>
      </w:tr>
      <w:tr>
        <w:trPr>
          <w:trHeight w:val="230"/>
        </w:trPr>
        <w:tc>
          <w:tcPr>
            <w:tcW w:w="2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Financial Officer)</w:t>
            </w:r>
          </w:p>
        </w:tc>
      </w:tr>
    </w:tbl>
    <w:p>
      <w:pPr>
        <w:spacing w:after="0" w:line="12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Campbell and in the capacities indicated on September 23, 2021.</w:t>
      </w: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729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Mark A. Clouse</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President and Chief Executive Officer and Director</w:t>
      </w:r>
    </w:p>
    <w:p>
      <w:pPr>
        <w:spacing w:after="0" w:line="3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Mick J. Beekhuizen</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Stanley Polomski</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Vice President and Controller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Keith R. McLoughlin</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Chair and Director</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Fabiola R. Arredondo</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Howard M. Averill</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John P. Bilbrey</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111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Bennett Dorrance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Maria Teresa Hilado</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Grant H. Hill</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Sarah Hofstetter</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Marc B. Lautenbach</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Mary Alice D. Malone</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Kurt T. Schmidt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0003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Archbold D. van Beuren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1300" w:hanging="128"/>
        <w:spacing w:after="0"/>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By: /s/ Charles A. Brawley, III</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Name: Charles A. Brawley, III</w:t>
      </w:r>
    </w:p>
    <w:p>
      <w:pPr>
        <w:spacing w:after="0" w:line="23" w:lineRule="exact"/>
        <w:rPr>
          <w:rFonts w:ascii="Arial" w:cs="Arial" w:eastAsia="Arial" w:hAnsi="Arial"/>
          <w:sz w:val="16"/>
          <w:szCs w:val="16"/>
          <w:color w:val="auto"/>
        </w:rPr>
      </w:pPr>
    </w:p>
    <w:p>
      <w:pPr>
        <w:ind w:right="1500"/>
        <w:spacing w:after="0" w:line="329" w:lineRule="auto"/>
        <w:rPr>
          <w:rFonts w:ascii="Arial" w:cs="Arial" w:eastAsia="Arial" w:hAnsi="Arial"/>
          <w:sz w:val="16"/>
          <w:szCs w:val="16"/>
          <w:color w:val="auto"/>
        </w:rPr>
      </w:pPr>
      <w:r>
        <w:rPr>
          <w:rFonts w:ascii="Arial" w:cs="Arial" w:eastAsia="Arial" w:hAnsi="Arial"/>
          <w:sz w:val="16"/>
          <w:szCs w:val="16"/>
          <w:color w:val="auto"/>
        </w:rPr>
        <w:t>Title: Vice President, Deputy General Counsel and Corporate Secretary, as Attorney-in-fact (pursuant to 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-634365</wp:posOffset>
            </wp:positionV>
            <wp:extent cx="3000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4840"/>
          </w:cols>
          <w:pgMar w:left="320" w:top="89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August 1, 2021, August 2, 2020, and July 28,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schedule of valuation and qualifying accounts for continuing operations should be read in conjunction with the Consolidated Financial Statements. This schedule excludes amounts related to discontinued operations. See Note 3 to the Consolidated Financial Statements for additional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Charged to/</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(Reduction in)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85"/>
        </w:trPr>
        <w:tc>
          <w:tcPr>
            <w:tcW w:w="5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7"/>
                <w:szCs w:val="7"/>
                <w:color w:val="auto"/>
              </w:rPr>
            </w:pPr>
          </w:p>
        </w:tc>
        <w:tc>
          <w:tcPr>
            <w:tcW w:w="104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5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Divestiture</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1"/>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August 1, 2021</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Cash discount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line="230" w:lineRule="exact"/>
              <w:rPr>
                <w:sz w:val="20"/>
                <w:szCs w:val="20"/>
                <w:color w:val="auto"/>
              </w:rPr>
            </w:pPr>
            <w:r>
              <w:rPr>
                <w:rFonts w:ascii="Arial" w:cs="Arial" w:eastAsia="Arial" w:hAnsi="Arial"/>
                <w:sz w:val="18"/>
                <w:szCs w:val="18"/>
                <w:color w:val="auto"/>
              </w:rPr>
              <w:t>Returns reserve</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allowances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August 2, 2020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Cash discount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line="230" w:lineRule="exact"/>
              <w:rPr>
                <w:sz w:val="20"/>
                <w:szCs w:val="20"/>
                <w:color w:val="auto"/>
              </w:rPr>
            </w:pPr>
            <w:r>
              <w:rPr>
                <w:rFonts w:ascii="Arial" w:cs="Arial" w:eastAsia="Arial" w:hAnsi="Arial"/>
                <w:sz w:val="18"/>
                <w:szCs w:val="18"/>
                <w:color w:val="auto"/>
              </w:rPr>
              <w:t>Returns reserve</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allowances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July 28, 2019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Cash discount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line="230" w:lineRule="exact"/>
              <w:rPr>
                <w:sz w:val="20"/>
                <w:szCs w:val="20"/>
                <w:color w:val="auto"/>
              </w:rPr>
            </w:pPr>
            <w:r>
              <w:rPr>
                <w:rFonts w:ascii="Arial" w:cs="Arial" w:eastAsia="Arial" w:hAnsi="Arial"/>
                <w:sz w:val="18"/>
                <w:szCs w:val="18"/>
                <w:color w:val="auto"/>
              </w:rPr>
              <w:t>Returns reserve</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allowances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104" w:lineRule="exact"/>
        <w:rPr>
          <w:sz w:val="20"/>
          <w:szCs w:val="20"/>
          <w:color w:val="auto"/>
        </w:rPr>
      </w:pPr>
    </w:p>
    <w:p>
      <w:pPr>
        <w:ind w:left="340" w:right="20" w:hanging="332"/>
        <w:spacing w:after="0" w:line="267" w:lineRule="auto"/>
        <w:tabs>
          <w:tab w:leader="none" w:pos="328"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The returns reserve is evaluated quarterly and adjusted accordingly. During each period, returns are charged to net sales in the Consolidated Statements of Earnings as incurred. Actual returns were approximately $100 in 2021, $99 in 2020, and $107 in 2019, or less than 2% of net sales.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10(s)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TIME-LAPSE RESTRICTED STOCK UNIT AGREEMENT</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TIME-LAPSE RESTRICTED STOCK UNIT AGREEMENT</w:t>
      </w:r>
      <w:r>
        <w:rPr>
          <w:rFonts w:ascii="Arial" w:cs="Arial" w:eastAsia="Arial" w:hAnsi="Arial"/>
          <w:sz w:val="20"/>
          <w:szCs w:val="20"/>
          <w:color w:val="auto"/>
        </w:rPr>
        <w:t xml:space="preserve"> (the “Agreement”) between Campbell Soup Company (the “Company”) and [Employee Full Legal Name] (“Grantee”), an employee of the Company or one of its participating subsidiaries, on [ ](the “Grant Date”).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award Grantee time-lapse restricted stock units (the “Award), which each represent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one share of Capital Stock, $.0375 par value of the Company ( a “Share” or “Shares”) as hereinafter provided (the “Restricted Stock Units”), under the Campbell Soup Company 2015 Long-Term Incentive Plan (the “Plan”) and this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by accepting this Award, Grantee agrees to the terms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valuable considerations the legal sufficiency of which is hereby acknowledged,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Company and Grantee, each intending to be legally bound, agree as follows:</w:t>
      </w:r>
    </w:p>
    <w:p>
      <w:pPr>
        <w:spacing w:after="0" w:line="194" w:lineRule="exact"/>
        <w:rPr>
          <w:sz w:val="20"/>
          <w:szCs w:val="20"/>
          <w:color w:val="auto"/>
        </w:rPr>
      </w:pPr>
    </w:p>
    <w:p>
      <w:pPr>
        <w:jc w:val="both"/>
        <w:ind w:firstLine="656"/>
        <w:spacing w:after="0" w:line="248" w:lineRule="auto"/>
        <w:tabs>
          <w:tab w:leader="none" w:pos="994"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of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Grantee on the Grant Date [#Granted]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Restricted Stock Units are in all respects limited and conditioned as hereinafter provided, and are subject in all respects to the Plan’s terms and conditions, as amended. During the restriction periods set forth below, the Award shall consist of stock units but any portion of the Award that ultimately vests will be delivered in Shares.</w:t>
      </w:r>
    </w:p>
    <w:p>
      <w:pPr>
        <w:spacing w:after="0" w:line="183" w:lineRule="exact"/>
        <w:rPr>
          <w:rFonts w:ascii="Arial" w:cs="Arial" w:eastAsia="Arial" w:hAnsi="Arial"/>
          <w:sz w:val="20"/>
          <w:szCs w:val="20"/>
          <w:b w:val="1"/>
          <w:bCs w:val="1"/>
          <w:color w:val="auto"/>
        </w:rPr>
      </w:pPr>
    </w:p>
    <w:p>
      <w:pPr>
        <w:jc w:val="both"/>
        <w:ind w:firstLine="656"/>
        <w:spacing w:after="0" w:line="282" w:lineRule="auto"/>
        <w:tabs>
          <w:tab w:leader="none" w:pos="1156"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Restriction Period;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of this Agreement and the Plan and provided that Grantee remains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continuously employed throughout the restriction periods set forth below, one-third (1/3) of the Restricted Stock Units shall vest per year over three years on each </w:t>
      </w:r>
      <w:r>
        <w:rPr>
          <w:rFonts w:ascii="Arial" w:cs="Arial" w:eastAsia="Arial" w:hAnsi="Arial"/>
          <w:sz w:val="19"/>
          <w:szCs w:val="19"/>
          <w:b w:val="1"/>
          <w:bCs w:val="1"/>
          <w:color w:val="auto"/>
        </w:rPr>
        <w:t>September 30</w:t>
      </w:r>
      <w:r>
        <w:rPr>
          <w:rFonts w:ascii="Arial" w:cs="Arial" w:eastAsia="Arial" w:hAnsi="Arial"/>
          <w:sz w:val="24"/>
          <w:szCs w:val="24"/>
          <w:b w:val="1"/>
          <w:bCs w:val="1"/>
          <w:color w:val="auto"/>
          <w:vertAlign w:val="superscript"/>
        </w:rPr>
        <w:t>th</w:t>
      </w:r>
      <w:r>
        <w:rPr>
          <w:rFonts w:ascii="Arial" w:cs="Arial" w:eastAsia="Arial" w:hAnsi="Arial"/>
          <w:sz w:val="19"/>
          <w:szCs w:val="19"/>
          <w:color w:val="auto"/>
        </w:rPr>
        <w:t xml:space="preserve"> following the Grant Date (each a “Vesting Date”), as set forth below:</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Restriction</w:t>
            </w:r>
          </w:p>
        </w:tc>
        <w:tc>
          <w:tcPr>
            <w:tcW w:w="5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Vesting Dates</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Number of Restricted</w:t>
            </w:r>
          </w:p>
        </w:tc>
        <w:tc>
          <w:tcPr>
            <w:tcW w:w="0" w:type="dxa"/>
            <w:vAlign w:val="bottom"/>
          </w:tcPr>
          <w:p>
            <w:pPr>
              <w:spacing w:after="0"/>
              <w:rPr>
                <w:sz w:val="1"/>
                <w:szCs w:val="1"/>
                <w:color w:val="auto"/>
              </w:rPr>
            </w:pPr>
          </w:p>
        </w:tc>
      </w:tr>
      <w:tr>
        <w:trPr>
          <w:trHeight w:val="156"/>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Period</w:t>
            </w:r>
          </w:p>
        </w:tc>
        <w:tc>
          <w:tcPr>
            <w:tcW w:w="5400" w:type="dxa"/>
            <w:vAlign w:val="bottom"/>
            <w:tcBorders>
              <w:right w:val="single" w:sz="8" w:color="auto"/>
            </w:tcBorders>
            <w:vMerge w:val="continue"/>
          </w:tcPr>
          <w:p>
            <w:pPr>
              <w:spacing w:after="0"/>
              <w:rPr>
                <w:sz w:val="13"/>
                <w:szCs w:val="13"/>
                <w:color w:val="auto"/>
              </w:rPr>
            </w:pPr>
          </w:p>
        </w:tc>
        <w:tc>
          <w:tcPr>
            <w:tcW w:w="3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Stock Units</w:t>
            </w: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continue"/>
          </w:tcPr>
          <w:p>
            <w:pPr>
              <w:spacing w:after="0"/>
              <w:rPr>
                <w:sz w:val="10"/>
                <w:szCs w:val="10"/>
                <w:color w:val="auto"/>
              </w:rPr>
            </w:pPr>
          </w:p>
        </w:tc>
        <w:tc>
          <w:tcPr>
            <w:tcW w:w="5400" w:type="dxa"/>
            <w:vAlign w:val="bottom"/>
            <w:tcBorders>
              <w:right w:val="single" w:sz="8" w:color="auto"/>
            </w:tcBorders>
          </w:tcPr>
          <w:p>
            <w:pPr>
              <w:spacing w:after="0"/>
              <w:rPr>
                <w:sz w:val="10"/>
                <w:szCs w:val="10"/>
                <w:color w:val="auto"/>
              </w:rPr>
            </w:pPr>
          </w:p>
        </w:tc>
        <w:tc>
          <w:tcPr>
            <w:tcW w:w="3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[Vesting Date 1]</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[#Vesting on Date 1]</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[Vesting Date 2]</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[#Vesting on Date 2]</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[Vesting Date 3]</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[#Vesting on Date 3]</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provided below, the Company shall deliver to Grantee one Share for each vested Restricted Stock Unit during the month following each applicable Vesting Date. Unless terminated earlier under paragraph 5 below, a Grantee’s rights under this Agreement shall terminate with respect to each Restricted Stock Unit at the time such Restricted Stock Unit is converted into a Share.</w:t>
      </w:r>
    </w:p>
    <w:p>
      <w:pPr>
        <w:spacing w:after="0" w:line="164" w:lineRule="exact"/>
        <w:rPr>
          <w:sz w:val="20"/>
          <w:szCs w:val="20"/>
          <w:color w:val="auto"/>
        </w:rPr>
      </w:pPr>
    </w:p>
    <w:p>
      <w:pPr>
        <w:jc w:val="both"/>
        <w:ind w:firstLine="656"/>
        <w:spacing w:after="0" w:line="246" w:lineRule="auto"/>
        <w:tabs>
          <w:tab w:leader="none" w:pos="1035"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After a Vesting Date, Grantee shall be paid in cash the accumulated amount equivalent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which would have been paid on such Shares underlying the Restricted Stock Units to the extent the Company’s Board of Directors had approved and declared a dividend on its Capital Stock. Such dividend equivalent amount shall be paid during the month following the applicable Vesting Date. Subject to paragraph 5 below, the dividend equivalent payment shall be forfeited for any Restricted Stock Units terminated under paragraph 5.</w:t>
      </w:r>
    </w:p>
    <w:p>
      <w:pPr>
        <w:spacing w:after="0" w:line="184" w:lineRule="exact"/>
        <w:rPr>
          <w:rFonts w:ascii="Arial" w:cs="Arial" w:eastAsia="Arial" w:hAnsi="Arial"/>
          <w:sz w:val="20"/>
          <w:szCs w:val="20"/>
          <w:b w:val="1"/>
          <w:bCs w:val="1"/>
          <w:color w:val="auto"/>
        </w:rPr>
      </w:pPr>
    </w:p>
    <w:p>
      <w:pPr>
        <w:jc w:val="both"/>
        <w:ind w:firstLine="656"/>
        <w:spacing w:after="0" w:line="253" w:lineRule="auto"/>
        <w:tabs>
          <w:tab w:leader="none" w:pos="1021"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Plan Terms</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is subject to the terms and conditions of the Plan. Such terms and conditions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are incorporated into and made a part of this Agreement by reference. In the event of any conflicts between the provisions of this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1</w:t>
      </w:r>
    </w:p>
    <w:p>
      <w:pPr>
        <w:sectPr>
          <w:pgSz w:w="11900" w:h="16838" w:orient="portrait"/>
          <w:cols w:equalWidth="0" w:num="1">
            <w:col w:w="11240"/>
          </w:cols>
          <w:pgMar w:left="320" w:top="1156" w:right="339" w:bottom="1440" w:gutter="0" w:footer="0" w:header="0"/>
        </w:sectPr>
      </w:pPr>
    </w:p>
    <w:bookmarkStart w:id="90" w:name="page91"/>
    <w:bookmarkEnd w:id="90"/>
    <w:p>
      <w:pPr>
        <w:jc w:val="both"/>
        <w:spacing w:after="0" w:line="244" w:lineRule="auto"/>
        <w:rPr>
          <w:sz w:val="20"/>
          <w:szCs w:val="20"/>
          <w:color w:val="auto"/>
        </w:rPr>
      </w:pPr>
      <w:r>
        <w:rPr>
          <w:rFonts w:ascii="Arial" w:cs="Arial" w:eastAsia="Arial" w:hAnsi="Arial"/>
          <w:sz w:val="20"/>
          <w:szCs w:val="20"/>
          <w:color w:val="auto"/>
        </w:rPr>
        <w:t>the terms of the Plan will control. The Compensation and Organization Committee of the Board of Directors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88" w:lineRule="exact"/>
        <w:rPr>
          <w:sz w:val="20"/>
          <w:szCs w:val="20"/>
          <w:color w:val="auto"/>
        </w:rPr>
      </w:pPr>
    </w:p>
    <w:p>
      <w:pPr>
        <w:jc w:val="both"/>
        <w:ind w:firstLine="656"/>
        <w:spacing w:after="0" w:line="272" w:lineRule="auto"/>
        <w:tabs>
          <w:tab w:leader="none" w:pos="1048"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Early Termination of Restricted Stock Unit; 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Restricted Stock Units shall terminate and</w:t>
      </w:r>
      <w:r>
        <w:rPr>
          <w:rFonts w:ascii="Arial" w:cs="Arial" w:eastAsia="Arial" w:hAnsi="Arial"/>
          <w:sz w:val="19"/>
          <w:szCs w:val="19"/>
          <w:b w:val="1"/>
          <w:bCs w:val="1"/>
          <w:color w:val="auto"/>
        </w:rPr>
        <w:t xml:space="preserve"> </w:t>
      </w:r>
      <w:r>
        <w:rPr>
          <w:rFonts w:ascii="Arial" w:cs="Arial" w:eastAsia="Arial" w:hAnsi="Arial"/>
          <w:sz w:val="19"/>
          <w:szCs w:val="19"/>
          <w:color w:val="auto"/>
        </w:rPr>
        <w:t>become null and void if and when Grantee ceases for any reason to be an employee of the Company or its subsidiaries, including but not limited to termination for Cause, voluntary resignation, or Retirement, except as provided in below:</w:t>
      </w:r>
    </w:p>
    <w:p>
      <w:pPr>
        <w:spacing w:after="0" w:line="167" w:lineRule="exact"/>
        <w:rPr>
          <w:rFonts w:ascii="Arial" w:cs="Arial" w:eastAsia="Arial" w:hAnsi="Arial"/>
          <w:sz w:val="19"/>
          <w:szCs w:val="19"/>
          <w:b w:val="1"/>
          <w:bCs w:val="1"/>
          <w:color w:val="auto"/>
        </w:rPr>
      </w:pPr>
    </w:p>
    <w:p>
      <w:pPr>
        <w:jc w:val="both"/>
        <w:ind w:firstLine="1304"/>
        <w:spacing w:after="0" w:line="269" w:lineRule="auto"/>
        <w:tabs>
          <w:tab w:leader="none" w:pos="193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If Grantee’s employment is terminated at least six (6) months following the Grant Date as a result of Retirement, the Restricted Stock Units shall continue to vest through the Vesting Dates, and the Company will deliver to Grantee, or his or her legal representative, one Share for each Restricted Stock Unit vested on that date in accordance with paragraph 2.</w:t>
      </w:r>
    </w:p>
    <w:p>
      <w:pPr>
        <w:spacing w:after="0" w:line="196" w:lineRule="exact"/>
        <w:rPr>
          <w:rFonts w:ascii="Arial" w:cs="Arial" w:eastAsia="Arial" w:hAnsi="Arial"/>
          <w:sz w:val="19"/>
          <w:szCs w:val="19"/>
          <w:color w:val="auto"/>
        </w:rPr>
      </w:pPr>
    </w:p>
    <w:p>
      <w:pPr>
        <w:jc w:val="both"/>
        <w:ind w:firstLine="1304"/>
        <w:spacing w:after="0" w:line="282" w:lineRule="auto"/>
        <w:tabs>
          <w:tab w:leader="none" w:pos="193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Retirement Eligible upon Total Disability or Death</w:t>
      </w:r>
      <w:r>
        <w:rPr>
          <w:rFonts w:ascii="Arial" w:cs="Arial" w:eastAsia="Arial" w:hAnsi="Arial"/>
          <w:sz w:val="18"/>
          <w:szCs w:val="18"/>
          <w:color w:val="auto"/>
        </w:rPr>
        <w:t>. If Grantee’s employment is terminated at least six (6) months following the Grant Date as a result of Total Disability or death (provided Grantee is Retirement Eligible at the time of any such termination), the Restricted Stock Units will continue to vest through the Vesting Dates, and the Company will deliver to Grantee, or his or her legal representative, one share of the Company’s Capital Stock for each Restricted Stock Unit vested on that date in accordance with paragraph 2.</w:t>
      </w:r>
    </w:p>
    <w:p>
      <w:pPr>
        <w:spacing w:after="0" w:line="188" w:lineRule="exact"/>
        <w:rPr>
          <w:rFonts w:ascii="Arial" w:cs="Arial" w:eastAsia="Arial" w:hAnsi="Arial"/>
          <w:sz w:val="18"/>
          <w:szCs w:val="18"/>
          <w:color w:val="auto"/>
        </w:rPr>
      </w:pPr>
    </w:p>
    <w:p>
      <w:pPr>
        <w:jc w:val="both"/>
        <w:ind w:firstLine="1304"/>
        <w:spacing w:after="0" w:line="282" w:lineRule="auto"/>
        <w:tabs>
          <w:tab w:leader="none" w:pos="1934"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Not Retirement Eligible upon Total Disability or Death; Involuntary Termination</w:t>
      </w:r>
      <w:r>
        <w:rPr>
          <w:rFonts w:ascii="Arial" w:cs="Arial" w:eastAsia="Arial" w:hAnsi="Arial"/>
          <w:sz w:val="18"/>
          <w:szCs w:val="18"/>
          <w:color w:val="auto"/>
        </w:rPr>
        <w:t>. If Grantee’s employment is terminated at least six (6) months following the Grant Date: (i) as the result of Grantee’s Total Disability or death and Grantee is not Retirement Eligible; or (ii) by the Company for reasons other than Cause and Grantee is not Retirement Eligible, Grantee shall vest on the applicable Vesting Date in a prorated portion of his or her Restricted Stock Units under this Agreement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147320</wp:posOffset>
            </wp:positionV>
            <wp:extent cx="6395085" cy="1371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6395085" cy="1371600"/>
                    </a:xfrm>
                    <a:prstGeom prst="rect">
                      <a:avLst/>
                    </a:prstGeom>
                    <a:noFill/>
                  </pic:spPr>
                </pic:pic>
              </a:graphicData>
            </a:graphic>
          </wp:anchor>
        </w:drawing>
      </w:r>
    </w:p>
    <w:p>
      <w:pPr>
        <w:spacing w:after="0" w:line="249"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Restriction Period</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88"/>
        </w:trPr>
        <w:tc>
          <w:tcPr>
            <w:tcW w:w="3300" w:type="dxa"/>
            <w:vAlign w:val="bottom"/>
            <w:tcBorders>
              <w:top w:val="single" w:sz="8" w:color="auto"/>
              <w:right w:val="single" w:sz="8" w:color="auto"/>
            </w:tcBorders>
          </w:tcPr>
          <w:p>
            <w:pPr>
              <w:ind w:left="1600"/>
              <w:spacing w:after="0"/>
              <w:rPr>
                <w:sz w:val="20"/>
                <w:szCs w:val="20"/>
                <w:color w:val="auto"/>
              </w:rPr>
            </w:pPr>
            <w:r>
              <w:rPr>
                <w:rFonts w:ascii="Arial" w:cs="Arial" w:eastAsia="Arial" w:hAnsi="Arial"/>
                <w:sz w:val="20"/>
                <w:szCs w:val="20"/>
                <w:color w:val="auto"/>
              </w:rPr>
              <w:t>1</w:t>
            </w:r>
          </w:p>
        </w:tc>
        <w:tc>
          <w:tcPr>
            <w:tcW w:w="340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20"/>
                <w:szCs w:val="20"/>
                <w:color w:val="auto"/>
              </w:rPr>
              <w:t>2</w:t>
            </w:r>
          </w:p>
        </w:tc>
        <w:tc>
          <w:tcPr>
            <w:tcW w:w="3380" w:type="dxa"/>
            <w:vAlign w:val="bottom"/>
            <w:tcBorders>
              <w:top w:val="single" w:sz="8" w:color="auto"/>
            </w:tcBorders>
          </w:tcPr>
          <w:p>
            <w:pPr>
              <w:ind w:left="1620"/>
              <w:spacing w:after="0"/>
              <w:rPr>
                <w:sz w:val="20"/>
                <w:szCs w:val="20"/>
                <w:color w:val="auto"/>
              </w:rPr>
            </w:pPr>
            <w:r>
              <w:rPr>
                <w:rFonts w:ascii="Arial" w:cs="Arial" w:eastAsia="Arial" w:hAnsi="Arial"/>
                <w:sz w:val="20"/>
                <w:szCs w:val="20"/>
                <w:color w:val="auto"/>
              </w:rPr>
              <w:t>3</w:t>
            </w:r>
          </w:p>
        </w:tc>
      </w:tr>
      <w:tr>
        <w:trPr>
          <w:trHeight w:val="23"/>
        </w:trPr>
        <w:tc>
          <w:tcPr>
            <w:tcW w:w="3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60"/>
        </w:trPr>
        <w:tc>
          <w:tcPr>
            <w:tcW w:w="3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4"/>
              </w:rPr>
              <w:t>Number of months worked from Grant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8"/>
              </w:rPr>
              <w:t>Number of months worked from Grant</w:t>
            </w:r>
          </w:p>
        </w:tc>
        <w:tc>
          <w:tcPr>
            <w:tcW w:w="3380" w:type="dxa"/>
            <w:vAlign w:val="bottom"/>
          </w:tcPr>
          <w:p>
            <w:pPr>
              <w:ind w:left="60"/>
              <w:spacing w:after="0"/>
              <w:rPr>
                <w:sz w:val="20"/>
                <w:szCs w:val="20"/>
                <w:color w:val="auto"/>
              </w:rPr>
            </w:pPr>
            <w:r>
              <w:rPr>
                <w:rFonts w:ascii="Arial" w:cs="Arial" w:eastAsia="Arial" w:hAnsi="Arial"/>
                <w:sz w:val="20"/>
                <w:szCs w:val="20"/>
                <w:color w:val="auto"/>
                <w:w w:val="98"/>
              </w:rPr>
              <w:t>Number of months worked from Grant</w:t>
            </w:r>
          </w:p>
        </w:tc>
      </w:tr>
      <w:tr>
        <w:trPr>
          <w:trHeight w:val="243"/>
        </w:trPr>
        <w:tc>
          <w:tcPr>
            <w:tcW w:w="3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2"/>
              </w:rPr>
              <w:t>Date to termination date divided by 12;</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6"/>
              </w:rPr>
              <w:t>Date to termination date divided by 24;</w:t>
            </w:r>
          </w:p>
        </w:tc>
        <w:tc>
          <w:tcPr>
            <w:tcW w:w="3380" w:type="dxa"/>
            <w:vAlign w:val="bottom"/>
          </w:tcPr>
          <w:p>
            <w:pPr>
              <w:ind w:left="60"/>
              <w:spacing w:after="0"/>
              <w:rPr>
                <w:sz w:val="20"/>
                <w:szCs w:val="20"/>
                <w:color w:val="auto"/>
              </w:rPr>
            </w:pPr>
            <w:r>
              <w:rPr>
                <w:rFonts w:ascii="Arial" w:cs="Arial" w:eastAsia="Arial" w:hAnsi="Arial"/>
                <w:sz w:val="20"/>
                <w:szCs w:val="20"/>
                <w:color w:val="auto"/>
                <w:w w:val="96"/>
              </w:rPr>
              <w:t>Date to termination date divided by 36;</w:t>
            </w:r>
          </w:p>
        </w:tc>
      </w:tr>
      <w:tr>
        <w:trPr>
          <w:trHeight w:val="243"/>
        </w:trPr>
        <w:tc>
          <w:tcPr>
            <w:tcW w:w="3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multiplied by number of Restricted</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multiplied by number of Restricted Stock</w:t>
            </w:r>
          </w:p>
        </w:tc>
        <w:tc>
          <w:tcPr>
            <w:tcW w:w="3380" w:type="dxa"/>
            <w:vAlign w:val="bottom"/>
          </w:tcPr>
          <w:p>
            <w:pPr>
              <w:ind w:left="60"/>
              <w:spacing w:after="0"/>
              <w:rPr>
                <w:sz w:val="20"/>
                <w:szCs w:val="20"/>
                <w:color w:val="auto"/>
              </w:rPr>
            </w:pPr>
            <w:r>
              <w:rPr>
                <w:rFonts w:ascii="Arial" w:cs="Arial" w:eastAsia="Arial" w:hAnsi="Arial"/>
                <w:sz w:val="20"/>
                <w:szCs w:val="20"/>
                <w:color w:val="auto"/>
                <w:w w:val="92"/>
              </w:rPr>
              <w:t>multiplied by number of Restricted Stock</w:t>
            </w:r>
          </w:p>
        </w:tc>
      </w:tr>
      <w:tr>
        <w:trPr>
          <w:trHeight w:val="243"/>
        </w:trPr>
        <w:tc>
          <w:tcPr>
            <w:tcW w:w="3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1"/>
              </w:rPr>
              <w:t>Stock Units originally scheduled to vest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Units originally scheduled to vest on the</w:t>
            </w:r>
          </w:p>
        </w:tc>
        <w:tc>
          <w:tcPr>
            <w:tcW w:w="3380" w:type="dxa"/>
            <w:vAlign w:val="bottom"/>
          </w:tcPr>
          <w:p>
            <w:pPr>
              <w:ind w:left="60"/>
              <w:spacing w:after="0"/>
              <w:rPr>
                <w:sz w:val="20"/>
                <w:szCs w:val="20"/>
                <w:color w:val="auto"/>
              </w:rPr>
            </w:pPr>
            <w:r>
              <w:rPr>
                <w:rFonts w:ascii="Arial" w:cs="Arial" w:eastAsia="Arial" w:hAnsi="Arial"/>
                <w:sz w:val="20"/>
                <w:szCs w:val="20"/>
                <w:color w:val="auto"/>
                <w:w w:val="93"/>
              </w:rPr>
              <w:t>Units originally scheduled to vest on the</w:t>
            </w:r>
          </w:p>
        </w:tc>
      </w:tr>
      <w:tr>
        <w:trPr>
          <w:trHeight w:val="243"/>
        </w:trPr>
        <w:tc>
          <w:tcPr>
            <w:tcW w:w="3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6"/>
              </w:rPr>
              <w:t>on the first Vesting Date shall vest on</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8"/>
              </w:rPr>
              <w:t>second Vesting Date shall vest on the</w:t>
            </w:r>
          </w:p>
        </w:tc>
        <w:tc>
          <w:tcPr>
            <w:tcW w:w="3380" w:type="dxa"/>
            <w:vAlign w:val="bottom"/>
          </w:tcPr>
          <w:p>
            <w:pPr>
              <w:ind w:left="60"/>
              <w:spacing w:after="0"/>
              <w:rPr>
                <w:sz w:val="20"/>
                <w:szCs w:val="20"/>
                <w:color w:val="auto"/>
              </w:rPr>
            </w:pPr>
            <w:r>
              <w:rPr>
                <w:rFonts w:ascii="Arial" w:cs="Arial" w:eastAsia="Arial" w:hAnsi="Arial"/>
                <w:sz w:val="20"/>
                <w:szCs w:val="20"/>
                <w:color w:val="auto"/>
                <w:w w:val="93"/>
              </w:rPr>
              <w:t>third Vesting Date shall vest on the third</w:t>
            </w:r>
          </w:p>
        </w:tc>
      </w:tr>
      <w:tr>
        <w:trPr>
          <w:trHeight w:val="250"/>
        </w:trPr>
        <w:tc>
          <w:tcPr>
            <w:tcW w:w="3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the first Vesting Date.</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second Vesting Date.</w:t>
            </w:r>
          </w:p>
        </w:tc>
        <w:tc>
          <w:tcPr>
            <w:tcW w:w="3380" w:type="dxa"/>
            <w:vAlign w:val="bottom"/>
          </w:tcPr>
          <w:p>
            <w:pPr>
              <w:ind w:left="60"/>
              <w:spacing w:after="0"/>
              <w:rPr>
                <w:sz w:val="20"/>
                <w:szCs w:val="20"/>
                <w:color w:val="auto"/>
              </w:rPr>
            </w:pPr>
            <w:r>
              <w:rPr>
                <w:rFonts w:ascii="Arial" w:cs="Arial" w:eastAsia="Arial" w:hAnsi="Arial"/>
                <w:sz w:val="20"/>
                <w:szCs w:val="20"/>
                <w:color w:val="auto"/>
              </w:rPr>
              <w:t>Vesting Date.</w:t>
            </w:r>
          </w:p>
        </w:tc>
      </w:tr>
      <w:tr>
        <w:trPr>
          <w:trHeight w:val="23"/>
        </w:trPr>
        <w:tc>
          <w:tcPr>
            <w:tcW w:w="3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will deliver to Grantee, or his or her legal representative, one Share for each Restricted Stock Unit that vests on a Vesting Date in accordance with paragraph 2.</w:t>
      </w:r>
    </w:p>
    <w:p>
      <w:pPr>
        <w:spacing w:after="0" w:line="177" w:lineRule="exact"/>
        <w:rPr>
          <w:sz w:val="20"/>
          <w:szCs w:val="20"/>
          <w:color w:val="auto"/>
        </w:rPr>
      </w:pPr>
    </w:p>
    <w:p>
      <w:pPr>
        <w:jc w:val="both"/>
        <w:ind w:firstLine="1304"/>
        <w:spacing w:after="0" w:line="263" w:lineRule="auto"/>
        <w:tabs>
          <w:tab w:leader="none" w:pos="193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Cancellation</w:t>
      </w:r>
      <w:r>
        <w:rPr>
          <w:rFonts w:ascii="Arial" w:cs="Arial" w:eastAsia="Arial" w:hAnsi="Arial"/>
          <w:sz w:val="19"/>
          <w:szCs w:val="19"/>
          <w:color w:val="auto"/>
        </w:rPr>
        <w:t>. Notwithstanding the forgoing paragraphs 5(a), (b), and (c) above, if Grantee’s employment is terminated at least six (6) months following the Grant Date as a result of (i) Retirement or applicable termination of employment when Grantee is Retirement Eligible; (ii) Total Disability or death and Grantee is not Retirement Eligible, or (iii) by the Company for reasons other than Cause and Grantee is not Retirement Eligible, and the terms of the Non-Competition and 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2</w:t>
      </w:r>
    </w:p>
    <w:p>
      <w:pPr>
        <w:sectPr>
          <w:pgSz w:w="11900" w:h="16838" w:orient="portrait"/>
          <w:cols w:equalWidth="0" w:num="1">
            <w:col w:w="11240"/>
          </w:cols>
          <w:pgMar w:left="320" w:top="1162" w:right="339" w:bottom="1440" w:gutter="0" w:footer="0" w:header="0"/>
        </w:sectPr>
      </w:pPr>
    </w:p>
    <w:bookmarkStart w:id="91" w:name="page92"/>
    <w:bookmarkEnd w:id="91"/>
    <w:p>
      <w:pPr>
        <w:jc w:val="both"/>
        <w:spacing w:after="0" w:line="282" w:lineRule="auto"/>
        <w:rPr>
          <w:sz w:val="20"/>
          <w:szCs w:val="20"/>
          <w:color w:val="auto"/>
        </w:rPr>
      </w:pPr>
      <w:r>
        <w:rPr>
          <w:rFonts w:ascii="Arial" w:cs="Arial" w:eastAsia="Arial" w:hAnsi="Arial"/>
          <w:sz w:val="18"/>
          <w:szCs w:val="18"/>
          <w:color w:val="auto"/>
        </w:rPr>
        <w:t xml:space="preserve">Covenants Agreement (“RCA”)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subsequently violated, the Committee or its delegate, in its sole direction, may cancel the unvested portions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161" w:lineRule="exact"/>
        <w:rPr>
          <w:sz w:val="20"/>
          <w:szCs w:val="20"/>
          <w:color w:val="auto"/>
        </w:rPr>
      </w:pPr>
    </w:p>
    <w:p>
      <w:pPr>
        <w:jc w:val="both"/>
        <w:ind w:firstLine="1304"/>
        <w:spacing w:after="0" w:line="250" w:lineRule="auto"/>
        <w:tabs>
          <w:tab w:leader="none" w:pos="1934"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Any Termination Prior to Six-Month Anniversary of Grant Date</w:t>
      </w:r>
      <w:r>
        <w:rPr>
          <w:rFonts w:ascii="Arial" w:cs="Arial" w:eastAsia="Arial" w:hAnsi="Arial"/>
          <w:sz w:val="20"/>
          <w:szCs w:val="20"/>
          <w:color w:val="auto"/>
        </w:rPr>
        <w:t>. If a Grantee ceases to be an employee of the Company for any reason before six (6) months have elapsed from the Grant Date, the Award shall be cancelled by the Company and Grantee shall forfeit the entire Award.</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39"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Integration with Severance Benefits</w:t>
      </w:r>
      <w:r>
        <w:rPr>
          <w:rFonts w:ascii="Arial" w:cs="Arial" w:eastAsia="Arial" w:hAnsi="Arial"/>
          <w:sz w:val="20"/>
          <w:szCs w:val="20"/>
          <w:color w:val="auto"/>
        </w:rPr>
        <w:t>. For U.S. Grantees, notwithstanding paragraphs 5(a)-(d) above, if severance is offered, eligibility for a prorated Award is contingent upon the Company receiving your signed Severance Agreement and General Release. Without a signed release, all unvested Restricted Stock Units are forfeited.</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1"/>
          <w:numId w:val="72"/>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shall have the meanings set forth below:</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592" w:val="left"/>
        </w:tabs>
        <w:numPr>
          <w:ilvl w:val="2"/>
          <w:numId w:val="72"/>
        </w:numPr>
        <w:rPr>
          <w:rFonts w:ascii="Arial" w:cs="Arial" w:eastAsia="Arial" w:hAnsi="Arial"/>
          <w:sz w:val="20"/>
          <w:szCs w:val="20"/>
          <w:color w:val="auto"/>
        </w:rPr>
      </w:pPr>
      <w:r>
        <w:rPr>
          <w:rFonts w:ascii="Arial" w:cs="Arial" w:eastAsia="Arial" w:hAnsi="Arial"/>
          <w:sz w:val="20"/>
          <w:szCs w:val="20"/>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2"/>
          <w:numId w:val="72"/>
        </w:numPr>
        <w:rPr>
          <w:rFonts w:ascii="Arial" w:cs="Arial" w:eastAsia="Arial" w:hAnsi="Arial"/>
          <w:sz w:val="20"/>
          <w:szCs w:val="20"/>
          <w:color w:val="auto"/>
        </w:rPr>
      </w:pPr>
      <w:r>
        <w:rPr>
          <w:rFonts w:ascii="Arial" w:cs="Arial" w:eastAsia="Arial" w:hAnsi="Arial"/>
          <w:sz w:val="20"/>
          <w:szCs w:val="20"/>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185" w:lineRule="exact"/>
        <w:rPr>
          <w:rFonts w:ascii="Arial" w:cs="Arial" w:eastAsia="Arial" w:hAnsi="Arial"/>
          <w:sz w:val="20"/>
          <w:szCs w:val="20"/>
          <w:color w:val="auto"/>
        </w:rPr>
      </w:pPr>
    </w:p>
    <w:p>
      <w:pPr>
        <w:jc w:val="both"/>
        <w:ind w:firstLine="1952"/>
        <w:spacing w:after="0" w:line="291" w:lineRule="auto"/>
        <w:tabs>
          <w:tab w:leader="none" w:pos="2592" w:val="left"/>
        </w:tabs>
        <w:numPr>
          <w:ilvl w:val="2"/>
          <w:numId w:val="72"/>
        </w:numPr>
        <w:rPr>
          <w:rFonts w:ascii="Arial" w:cs="Arial" w:eastAsia="Arial" w:hAnsi="Arial"/>
          <w:sz w:val="18"/>
          <w:szCs w:val="18"/>
          <w:color w:val="auto"/>
        </w:rPr>
      </w:pPr>
      <w:r>
        <w:rPr>
          <w:rFonts w:ascii="Arial" w:cs="Arial" w:eastAsia="Arial" w:hAnsi="Arial"/>
          <w:sz w:val="18"/>
          <w:szCs w:val="18"/>
          <w:color w:val="auto"/>
        </w:rPr>
        <w:t>“Termination of employment,” “separation from service,” and similar references mean a separation from service within the meaning of Code Section 409A with the Company and/or any of its subsidiaries or affiliates, which includes circumstances in which Grantee is reasonably anticipated not to perform further services with the Company or its affiliates or subsidiaries.</w:t>
      </w:r>
    </w:p>
    <w:p>
      <w:pPr>
        <w:spacing w:after="0" w:line="145" w:lineRule="exact"/>
        <w:rPr>
          <w:rFonts w:ascii="Arial" w:cs="Arial" w:eastAsia="Arial" w:hAnsi="Arial"/>
          <w:sz w:val="18"/>
          <w:szCs w:val="18"/>
          <w:color w:val="auto"/>
        </w:rPr>
      </w:pPr>
    </w:p>
    <w:p>
      <w:pPr>
        <w:jc w:val="both"/>
        <w:ind w:firstLine="656"/>
        <w:spacing w:after="0" w:line="260" w:lineRule="auto"/>
        <w:tabs>
          <w:tab w:leader="none" w:pos="994"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 of Taxes</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of making any payments or issuing any shares upon vesting of the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or other person entitled to such Shares or other payment shall pay any sums required to be withheld by federal, state, local, or other applicable tax law with respect to such vesting or payment. In accordance with any procedures established by the Committee, Grantee may satisfy any required withholding payments in cash or Shares (including the surrender of Shares held by Grantee or those that would otherwise be issued in settlement of the Award). Any surrendered or withheld Shares will constitute satisfaction of any required tax withholding to the extent of their Fair Market Value.</w:t>
      </w:r>
    </w:p>
    <w:p>
      <w:pPr>
        <w:spacing w:after="0" w:line="172" w:lineRule="exact"/>
        <w:rPr>
          <w:rFonts w:ascii="Arial" w:cs="Arial" w:eastAsia="Arial" w:hAnsi="Arial"/>
          <w:sz w:val="19"/>
          <w:szCs w:val="19"/>
          <w:b w:val="1"/>
          <w:bCs w:val="1"/>
          <w:color w:val="auto"/>
        </w:rPr>
      </w:pPr>
    </w:p>
    <w:p>
      <w:pPr>
        <w:jc w:val="both"/>
        <w:ind w:right="20" w:firstLine="656"/>
        <w:spacing w:after="0" w:line="253" w:lineRule="auto"/>
        <w:tabs>
          <w:tab w:leader="none" w:pos="1008"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Limits on 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right in the Restricted Stock Units awarded under this Agreement and any interest therein</w:t>
      </w:r>
      <w:r>
        <w:rPr>
          <w:rFonts w:ascii="Arial" w:cs="Arial" w:eastAsia="Arial" w:hAnsi="Arial"/>
          <w:sz w:val="20"/>
          <w:szCs w:val="20"/>
          <w:b w:val="1"/>
          <w:bCs w:val="1"/>
          <w:color w:val="auto"/>
        </w:rPr>
        <w:t xml:space="preserve"> </w:t>
      </w:r>
      <w:r>
        <w:rPr>
          <w:rFonts w:ascii="Arial" w:cs="Arial" w:eastAsia="Arial" w:hAnsi="Arial"/>
          <w:sz w:val="20"/>
          <w:szCs w:val="20"/>
          <w:color w:val="auto"/>
        </w:rPr>
        <w:t>may not be sold, pledged, assigned, hypothecated, transferred, or disposed of in any manner, other than by will or by the laws of descent or distribution. The Award shall not be subject to execution, attachment or other process.</w:t>
      </w:r>
    </w:p>
    <w:p>
      <w:pPr>
        <w:spacing w:after="0" w:line="177" w:lineRule="exact"/>
        <w:rPr>
          <w:rFonts w:ascii="Arial" w:cs="Arial" w:eastAsia="Arial" w:hAnsi="Arial"/>
          <w:sz w:val="20"/>
          <w:szCs w:val="20"/>
          <w:b w:val="1"/>
          <w:bCs w:val="1"/>
          <w:color w:val="auto"/>
        </w:rPr>
      </w:pPr>
    </w:p>
    <w:p>
      <w:pPr>
        <w:jc w:val="both"/>
        <w:ind w:firstLine="656"/>
        <w:spacing w:after="0" w:line="253" w:lineRule="auto"/>
        <w:tabs>
          <w:tab w:leader="none" w:pos="1048"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Securities Laws</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not be issued with respect to this Award unless the issuance and delivery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Shares shall comply with all relevant provisions of state and federal laws, rules and regulations, and, in the discretion of the Company, shall be further subject to the approval of counsel for the Company with respect to that compliance.</w:t>
      </w:r>
    </w:p>
    <w:p>
      <w:pPr>
        <w:spacing w:after="0" w:line="177" w:lineRule="exact"/>
        <w:rPr>
          <w:rFonts w:ascii="Arial" w:cs="Arial" w:eastAsia="Arial" w:hAnsi="Arial"/>
          <w:sz w:val="20"/>
          <w:szCs w:val="20"/>
          <w:b w:val="1"/>
          <w:bCs w:val="1"/>
          <w:color w:val="auto"/>
        </w:rPr>
      </w:pPr>
    </w:p>
    <w:p>
      <w:pPr>
        <w:ind w:right="20" w:firstLine="656"/>
        <w:spacing w:after="0" w:line="267" w:lineRule="auto"/>
        <w:tabs>
          <w:tab w:leader="none" w:pos="1035"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Employment or Voting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contained in the Plan or this Agreement shall give any employee the right to be</w:t>
      </w:r>
      <w:r>
        <w:rPr>
          <w:rFonts w:ascii="Arial" w:cs="Arial" w:eastAsia="Arial" w:hAnsi="Arial"/>
          <w:sz w:val="20"/>
          <w:szCs w:val="20"/>
          <w:b w:val="1"/>
          <w:bCs w:val="1"/>
          <w:color w:val="auto"/>
        </w:rPr>
        <w:t xml:space="preserve"> </w:t>
      </w:r>
      <w:r>
        <w:rPr>
          <w:rFonts w:ascii="Arial" w:cs="Arial" w:eastAsia="Arial" w:hAnsi="Arial"/>
          <w:sz w:val="20"/>
          <w:szCs w:val="20"/>
          <w:color w:val="auto"/>
        </w:rPr>
        <w:t>retained in the employment of the Company or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3</w:t>
      </w:r>
    </w:p>
    <w:p>
      <w:pPr>
        <w:sectPr>
          <w:pgSz w:w="11900" w:h="16838" w:orient="portrait"/>
          <w:cols w:equalWidth="0" w:num="1">
            <w:col w:w="11240"/>
          </w:cols>
          <w:pgMar w:left="320" w:top="1162" w:right="339" w:bottom="1440" w:gutter="0" w:footer="0" w:header="0"/>
        </w:sectPr>
      </w:pPr>
    </w:p>
    <w:bookmarkStart w:id="92" w:name="page93"/>
    <w:bookmarkEnd w:id="92"/>
    <w:p>
      <w:pPr>
        <w:ind w:right="20"/>
        <w:spacing w:after="0" w:line="287" w:lineRule="auto"/>
        <w:rPr>
          <w:sz w:val="20"/>
          <w:szCs w:val="20"/>
          <w:color w:val="auto"/>
        </w:rPr>
      </w:pPr>
      <w:r>
        <w:rPr>
          <w:rFonts w:ascii="Arial" w:cs="Arial" w:eastAsia="Arial" w:hAnsi="Arial"/>
          <w:sz w:val="19"/>
          <w:szCs w:val="19"/>
          <w:color w:val="auto"/>
        </w:rPr>
        <w:t>or their successors or assigns, whether existing now or in the future (collectively “Campbell Companies”), or affect the right of any of the Campbell Companies to terminate any employee. Grantee shall have no voting rights with respect to the Restricted Stock Units.</w:t>
      </w:r>
    </w:p>
    <w:p>
      <w:pPr>
        <w:spacing w:after="0" w:line="146" w:lineRule="exact"/>
        <w:rPr>
          <w:sz w:val="20"/>
          <w:szCs w:val="20"/>
          <w:color w:val="auto"/>
        </w:rPr>
      </w:pPr>
    </w:p>
    <w:p>
      <w:pPr>
        <w:jc w:val="both"/>
        <w:ind w:firstLine="656"/>
        <w:spacing w:after="0" w:line="248" w:lineRule="auto"/>
        <w:tabs>
          <w:tab w:leader="none" w:pos="1107"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Internal Revenue 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interpreted, operated, and administered in a manner so as not</w:t>
      </w:r>
      <w:r>
        <w:rPr>
          <w:rFonts w:ascii="Arial" w:cs="Arial" w:eastAsia="Arial" w:hAnsi="Arial"/>
          <w:sz w:val="20"/>
          <w:szCs w:val="20"/>
          <w:b w:val="1"/>
          <w:bCs w:val="1"/>
          <w:color w:val="auto"/>
        </w:rPr>
        <w:t xml:space="preserve"> </w:t>
      </w:r>
      <w:r>
        <w:rPr>
          <w:rFonts w:ascii="Arial" w:cs="Arial" w:eastAsia="Arial" w:hAnsi="Arial"/>
          <w:sz w:val="20"/>
          <w:szCs w:val="20"/>
          <w:color w:val="auto"/>
        </w:rPr>
        <w:t>to subject 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83" w:lineRule="exact"/>
        <w:rPr>
          <w:rFonts w:ascii="Arial" w:cs="Arial" w:eastAsia="Arial" w:hAnsi="Arial"/>
          <w:sz w:val="20"/>
          <w:szCs w:val="20"/>
          <w:b w:val="1"/>
          <w:bCs w:val="1"/>
          <w:color w:val="auto"/>
        </w:rPr>
      </w:pPr>
    </w:p>
    <w:p>
      <w:pPr>
        <w:jc w:val="both"/>
        <w:ind w:firstLine="656"/>
        <w:spacing w:after="0" w:line="285" w:lineRule="auto"/>
        <w:tabs>
          <w:tab w:leader="none" w:pos="115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future participation in the Plan by electronic means or to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50" w:lineRule="exact"/>
        <w:rPr>
          <w:rFonts w:ascii="Arial" w:cs="Arial" w:eastAsia="Arial" w:hAnsi="Arial"/>
          <w:sz w:val="18"/>
          <w:szCs w:val="18"/>
          <w:b w:val="1"/>
          <w:bCs w:val="1"/>
          <w:color w:val="auto"/>
        </w:rPr>
      </w:pPr>
    </w:p>
    <w:p>
      <w:pPr>
        <w:jc w:val="both"/>
        <w:ind w:firstLine="656"/>
        <w:spacing w:after="0" w:line="253" w:lineRule="auto"/>
        <w:tabs>
          <w:tab w:leader="none" w:pos="1134"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the Plan and this Agreement when accepted by Grantee will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subject matter hereof. This Agreement supersedes any prior agreements, representations or promises of the parties relating to the subject matter hereof.</w:t>
      </w:r>
    </w:p>
    <w:p>
      <w:pPr>
        <w:spacing w:after="0" w:line="177" w:lineRule="exact"/>
        <w:rPr>
          <w:rFonts w:ascii="Arial" w:cs="Arial" w:eastAsia="Arial" w:hAnsi="Arial"/>
          <w:sz w:val="20"/>
          <w:szCs w:val="20"/>
          <w:b w:val="1"/>
          <w:bCs w:val="1"/>
          <w:color w:val="auto"/>
        </w:rPr>
      </w:pPr>
    </w:p>
    <w:p>
      <w:pPr>
        <w:ind w:firstLine="656"/>
        <w:spacing w:after="0" w:line="267" w:lineRule="auto"/>
        <w:tabs>
          <w:tab w:leader="none" w:pos="11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 and Restrictive Covenants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of receiving the Award, Grantee must agree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of the RCA which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63" w:lineRule="exact"/>
        <w:rPr>
          <w:rFonts w:ascii="Arial" w:cs="Arial" w:eastAsia="Arial" w:hAnsi="Arial"/>
          <w:sz w:val="20"/>
          <w:szCs w:val="20"/>
          <w:b w:val="1"/>
          <w:bCs w:val="1"/>
          <w:color w:val="auto"/>
        </w:rPr>
      </w:pPr>
    </w:p>
    <w:p>
      <w:pPr>
        <w:jc w:val="both"/>
        <w:ind w:firstLine="656"/>
        <w:spacing w:after="0" w:line="246" w:lineRule="auto"/>
        <w:tabs>
          <w:tab w:leader="none" w:pos="11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of the provisions of this Agreement shall be held invalid, illegal or unenforceable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4" w:lineRule="exact"/>
        <w:rPr>
          <w:rFonts w:ascii="Arial" w:cs="Arial" w:eastAsia="Arial" w:hAnsi="Arial"/>
          <w:sz w:val="20"/>
          <w:szCs w:val="20"/>
          <w:b w:val="1"/>
          <w:bCs w:val="1"/>
          <w:color w:val="auto"/>
        </w:rPr>
      </w:pPr>
    </w:p>
    <w:p>
      <w:pPr>
        <w:ind w:firstLine="656"/>
        <w:spacing w:after="0" w:line="267" w:lineRule="auto"/>
        <w:tabs>
          <w:tab w:leader="none" w:pos="1107"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any successor or successors of the Company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person or persons who shall acquire any rights hereunder in accordance with this Agreement or the Plan.</w:t>
      </w:r>
    </w:p>
    <w:p>
      <w:pPr>
        <w:spacing w:after="0" w:line="163" w:lineRule="exact"/>
        <w:rPr>
          <w:rFonts w:ascii="Arial" w:cs="Arial" w:eastAsia="Arial" w:hAnsi="Arial"/>
          <w:sz w:val="20"/>
          <w:szCs w:val="20"/>
          <w:b w:val="1"/>
          <w:bCs w:val="1"/>
          <w:color w:val="auto"/>
        </w:rPr>
      </w:pPr>
    </w:p>
    <w:p>
      <w:pPr>
        <w:jc w:val="both"/>
        <w:ind w:firstLine="656"/>
        <w:spacing w:after="0" w:line="285" w:lineRule="auto"/>
        <w:tabs>
          <w:tab w:leader="none" w:pos="1107"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in accordance with, and its interpretation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15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by a duly authorized executive all as of the day and year first above written.</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-14605</wp:posOffset>
            </wp:positionV>
            <wp:extent cx="125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Xavier F. Boza</w:t>
      </w:r>
    </w:p>
    <w:p>
      <w:pPr>
        <w:ind w:left="200"/>
        <w:spacing w:after="0"/>
        <w:rPr>
          <w:sz w:val="20"/>
          <w:szCs w:val="20"/>
          <w:color w:val="auto"/>
        </w:rPr>
      </w:pPr>
      <w:r>
        <w:rPr>
          <w:rFonts w:ascii="Arial" w:cs="Arial" w:eastAsia="Arial" w:hAnsi="Arial"/>
          <w:sz w:val="20"/>
          <w:szCs w:val="20"/>
          <w:color w:val="auto"/>
        </w:rPr>
        <w:t>Executive Vice President &amp; Chief Human</w:t>
      </w:r>
    </w:p>
    <w:p>
      <w:pPr>
        <w:ind w:left="200"/>
        <w:spacing w:after="0"/>
        <w:rPr>
          <w:sz w:val="20"/>
          <w:szCs w:val="20"/>
          <w:color w:val="auto"/>
        </w:rPr>
      </w:pPr>
      <w:r>
        <w:rPr>
          <w:rFonts w:ascii="Arial" w:cs="Arial" w:eastAsia="Arial" w:hAnsi="Arial"/>
          <w:sz w:val="20"/>
          <w:szCs w:val="20"/>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4</w:t>
      </w:r>
    </w:p>
    <w:p>
      <w:pPr>
        <w:sectPr>
          <w:pgSz w:w="11900" w:h="16838" w:orient="portrait"/>
          <w:cols w:equalWidth="0" w:num="1">
            <w:col w:w="11240"/>
          </w:cols>
          <w:pgMar w:left="320" w:top="1162"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Non-Competition and Restrictive Covenants Agreement</w:t>
      </w:r>
      <w:r>
        <w:rPr>
          <w:sz w:val="20"/>
          <w:szCs w:val="20"/>
          <w:color w:val="auto"/>
        </w:rPr>
        <w:tab/>
      </w:r>
      <w:r>
        <w:rPr>
          <w:rFonts w:ascii="Arial" w:cs="Arial" w:eastAsia="Arial" w:hAnsi="Arial"/>
          <w:sz w:val="17"/>
          <w:szCs w:val="17"/>
          <w:color w:val="auto"/>
        </w:rPr>
        <w:t>&lt;#&gt;</w:t>
      </w:r>
    </w:p>
    <w:p>
      <w:pPr>
        <w:sectPr>
          <w:pgSz w:w="11900" w:h="16838" w:orient="portrait"/>
          <w:cols w:equalWidth="0" w:num="1">
            <w:col w:w="10139"/>
          </w:cols>
          <w:pgMar w:left="320" w:top="1440" w:right="1440" w:bottom="1440" w:gutter="0" w:footer="0" w:header="0"/>
        </w:sectPr>
      </w:pPr>
    </w:p>
    <w:bookmarkStart w:id="94" w:name="page95"/>
    <w:bookmarkEnd w:id="94"/>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NON-COMPETITION AND RESTRICTIVE COVENANTS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(LONG-TERM INCENTIVE PROGRAM)</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Non-Competition and Restrictive Covenants Agreement (“RCA”) is made by and between Campbell Soup Company (“Campbell”) and [Employee Full Legal Name] (“Employee”).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Employee has been selected to receive a Long-Term Incentive (“LTI”) award under the Campbell Soup Company 2015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respective agreements of the parties contained in this RCA, intending to be legally bound and subject to the terms and conditions stated in this RCA, it is agreed as follows:</w:t>
      </w:r>
    </w:p>
    <w:p>
      <w:pPr>
        <w:spacing w:after="0" w:line="171" w:lineRule="exact"/>
        <w:rPr>
          <w:sz w:val="20"/>
          <w:szCs w:val="20"/>
          <w:color w:val="auto"/>
        </w:rPr>
      </w:pPr>
    </w:p>
    <w:p>
      <w:pPr>
        <w:ind w:left="1000" w:hanging="344"/>
        <w:spacing w:after="0"/>
        <w:tabs>
          <w:tab w:leader="none" w:pos="100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76" w:lineRule="auto"/>
        <w:tabs>
          <w:tab w:leader="none" w:pos="17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164" w:lineRule="exact"/>
        <w:rPr>
          <w:rFonts w:ascii="Arial" w:cs="Arial" w:eastAsia="Arial" w:hAnsi="Arial"/>
          <w:sz w:val="18"/>
          <w:szCs w:val="18"/>
          <w:color w:val="auto"/>
        </w:rPr>
      </w:pPr>
    </w:p>
    <w:p>
      <w:pPr>
        <w:jc w:val="both"/>
        <w:ind w:firstLine="1304"/>
        <w:spacing w:after="0" w:line="246" w:lineRule="auto"/>
        <w:tabs>
          <w:tab w:leader="none" w:pos="1781" w:val="left"/>
        </w:tabs>
        <w:numPr>
          <w:ilvl w:val="1"/>
          <w:numId w:val="75"/>
        </w:numPr>
        <w:rPr>
          <w:rFonts w:ascii="Arial" w:cs="Arial" w:eastAsia="Arial" w:hAnsi="Arial"/>
          <w:sz w:val="20"/>
          <w:szCs w:val="20"/>
          <w:color w:val="auto"/>
        </w:rPr>
      </w:pPr>
      <w:r>
        <w:rPr>
          <w:rFonts w:ascii="Arial" w:cs="Arial" w:eastAsia="Arial" w:hAnsi="Arial"/>
          <w:sz w:val="20"/>
          <w:szCs w:val="20"/>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191" w:lineRule="exact"/>
        <w:rPr>
          <w:rFonts w:ascii="Arial" w:cs="Arial" w:eastAsia="Arial" w:hAnsi="Arial"/>
          <w:sz w:val="20"/>
          <w:szCs w:val="20"/>
          <w:color w:val="auto"/>
        </w:rPr>
      </w:pPr>
    </w:p>
    <w:p>
      <w:pPr>
        <w:jc w:val="both"/>
        <w:ind w:firstLine="1304"/>
        <w:spacing w:after="0" w:line="282" w:lineRule="auto"/>
        <w:tabs>
          <w:tab w:leader="none" w:pos="17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161" w:lineRule="exact"/>
        <w:rPr>
          <w:rFonts w:ascii="Arial" w:cs="Arial" w:eastAsia="Arial" w:hAnsi="Arial"/>
          <w:sz w:val="18"/>
          <w:szCs w:val="18"/>
          <w:color w:val="auto"/>
        </w:rPr>
      </w:pPr>
    </w:p>
    <w:p>
      <w:pPr>
        <w:jc w:val="both"/>
        <w:ind w:firstLine="1304"/>
        <w:spacing w:after="0" w:line="246" w:lineRule="auto"/>
        <w:tabs>
          <w:tab w:leader="none" w:pos="1912" w:val="left"/>
        </w:tabs>
        <w:numPr>
          <w:ilvl w:val="1"/>
          <w:numId w:val="75"/>
        </w:numPr>
        <w:rPr>
          <w:rFonts w:ascii="Arial" w:cs="Arial" w:eastAsia="Arial" w:hAnsi="Arial"/>
          <w:sz w:val="20"/>
          <w:szCs w:val="20"/>
          <w:color w:val="auto"/>
        </w:rPr>
      </w:pPr>
      <w:r>
        <w:rPr>
          <w:rFonts w:ascii="Arial" w:cs="Arial" w:eastAsia="Arial" w:hAnsi="Arial"/>
          <w:sz w:val="20"/>
          <w:szCs w:val="20"/>
          <w:color w:val="auto"/>
        </w:rPr>
        <w:t>Nothing in this RCA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Non-Competition and Restrictive Covenants Agreement</w:t>
        <w:tab/>
        <w:t>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3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regulation. Employees does not need the prior authorization of Campbell to make any such reports or disclosures and employee is am not required to notify Campbell that Employee has made such reports or disclosures.</w:t>
      </w:r>
    </w:p>
    <w:p>
      <w:pPr>
        <w:spacing w:after="0" w:line="171" w:lineRule="exact"/>
        <w:rPr>
          <w:sz w:val="20"/>
          <w:szCs w:val="20"/>
          <w:color w:val="auto"/>
        </w:rPr>
      </w:pPr>
    </w:p>
    <w:p>
      <w:pPr>
        <w:jc w:val="both"/>
        <w:ind w:firstLine="656"/>
        <w:spacing w:after="0" w:line="246" w:lineRule="auto"/>
        <w:tabs>
          <w:tab w:leader="none" w:pos="1008"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Business Diversion</w:t>
      </w:r>
      <w:r>
        <w:rPr>
          <w:rFonts w:ascii="Arial" w:cs="Arial" w:eastAsia="Arial" w:hAnsi="Arial"/>
          <w:sz w:val="20"/>
          <w:szCs w:val="20"/>
          <w:color w:val="auto"/>
        </w:rPr>
        <w:t>. During Employee’s employment, and for a period of 12 months thereafter following the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employment (for any reason), Employee will not, without the written consent of Campbell’s General Counsel, directly or indirectly, solicit, divert or take away, or attempt to solicit, divert or take away, any customers, business or suppliers of Campbell Companies whom Employee serviced, called upon, or solicited during Employee’s employment, or with whom Employee became acquainted as a result of Employee’s employment.</w:t>
      </w:r>
    </w:p>
    <w:p>
      <w:pPr>
        <w:spacing w:after="0" w:line="184" w:lineRule="exact"/>
        <w:rPr>
          <w:rFonts w:ascii="Arial" w:cs="Arial" w:eastAsia="Arial" w:hAnsi="Arial"/>
          <w:sz w:val="20"/>
          <w:szCs w:val="20"/>
          <w:b w:val="1"/>
          <w:bCs w:val="1"/>
          <w:color w:val="auto"/>
        </w:rPr>
      </w:pPr>
    </w:p>
    <w:p>
      <w:pPr>
        <w:jc w:val="both"/>
        <w:ind w:firstLine="656"/>
        <w:spacing w:after="0" w:line="245" w:lineRule="auto"/>
        <w:tabs>
          <w:tab w:leader="none" w:pos="1008"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Employee Solicitation</w:t>
      </w:r>
      <w:r>
        <w:rPr>
          <w:rFonts w:ascii="Arial" w:cs="Arial" w:eastAsia="Arial" w:hAnsi="Arial"/>
          <w:sz w:val="20"/>
          <w:szCs w:val="20"/>
          <w:color w:val="auto"/>
        </w:rPr>
        <w:t>. During Employee’s employment, and for a period of 12 months thereafter following the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77" w:lineRule="exact"/>
        <w:rPr>
          <w:rFonts w:ascii="Arial" w:cs="Arial" w:eastAsia="Arial" w:hAnsi="Arial"/>
          <w:sz w:val="20"/>
          <w:szCs w:val="20"/>
          <w:b w:val="1"/>
          <w:bCs w:val="1"/>
          <w:color w:val="auto"/>
        </w:rPr>
      </w:pPr>
    </w:p>
    <w:p>
      <w:pPr>
        <w:ind w:left="1000" w:hanging="344"/>
        <w:spacing w:after="0"/>
        <w:tabs>
          <w:tab w:leader="none" w:pos="1000"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color w:val="auto"/>
        </w:rPr>
        <w:t>.</w:t>
      </w:r>
      <w:r>
        <w:rPr>
          <w:rFonts w:ascii="Arial" w:cs="Arial" w:eastAsia="Arial" w:hAnsi="Arial"/>
          <w:sz w:val="25"/>
          <w:szCs w:val="25"/>
          <w:color w:val="auto"/>
          <w:vertAlign w:val="superscript"/>
        </w:rPr>
        <w:t>1</w:t>
      </w:r>
    </w:p>
    <w:p>
      <w:pPr>
        <w:spacing w:after="0" w:line="171" w:lineRule="exact"/>
        <w:rPr>
          <w:rFonts w:ascii="Arial" w:cs="Arial" w:eastAsia="Arial" w:hAnsi="Arial"/>
          <w:sz w:val="20"/>
          <w:szCs w:val="20"/>
          <w:b w:val="1"/>
          <w:bCs w:val="1"/>
          <w:color w:val="auto"/>
        </w:rPr>
      </w:pPr>
    </w:p>
    <w:p>
      <w:pPr>
        <w:jc w:val="both"/>
        <w:ind w:firstLine="1304"/>
        <w:spacing w:after="0" w:line="243" w:lineRule="auto"/>
        <w:tabs>
          <w:tab w:leader="none" w:pos="1937" w:val="left"/>
        </w:tabs>
        <w:numPr>
          <w:ilvl w:val="2"/>
          <w:numId w:val="76"/>
        </w:numPr>
        <w:rPr>
          <w:rFonts w:ascii="Arial" w:cs="Arial" w:eastAsia="Arial" w:hAnsi="Arial"/>
          <w:sz w:val="20"/>
          <w:szCs w:val="20"/>
          <w:color w:val="auto"/>
        </w:rPr>
      </w:pPr>
      <w:r>
        <w:rPr>
          <w:rFonts w:ascii="Arial" w:cs="Arial" w:eastAsia="Arial" w:hAnsi="Arial"/>
          <w:sz w:val="20"/>
          <w:szCs w:val="20"/>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195" w:lineRule="exact"/>
        <w:rPr>
          <w:rFonts w:ascii="Arial" w:cs="Arial" w:eastAsia="Arial" w:hAnsi="Arial"/>
          <w:sz w:val="20"/>
          <w:szCs w:val="20"/>
          <w:color w:val="auto"/>
        </w:rPr>
      </w:pPr>
    </w:p>
    <w:p>
      <w:pPr>
        <w:jc w:val="both"/>
        <w:ind w:firstLine="1304"/>
        <w:spacing w:after="0" w:line="246" w:lineRule="auto"/>
        <w:tabs>
          <w:tab w:leader="none" w:pos="1878" w:val="left"/>
        </w:tabs>
        <w:numPr>
          <w:ilvl w:val="2"/>
          <w:numId w:val="76"/>
        </w:numPr>
        <w:rPr>
          <w:rFonts w:ascii="Arial" w:cs="Arial" w:eastAsia="Arial" w:hAnsi="Arial"/>
          <w:sz w:val="20"/>
          <w:szCs w:val="20"/>
          <w:color w:val="auto"/>
        </w:rPr>
      </w:pPr>
      <w:r>
        <w:rPr>
          <w:rFonts w:ascii="Arial" w:cs="Arial" w:eastAsia="Arial" w:hAnsi="Arial"/>
          <w:sz w:val="20"/>
          <w:szCs w:val="20"/>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886" w:val="left"/>
        </w:tabs>
        <w:numPr>
          <w:ilvl w:val="2"/>
          <w:numId w:val="76"/>
        </w:numPr>
        <w:rPr>
          <w:rFonts w:ascii="Arial" w:cs="Arial" w:eastAsia="Arial" w:hAnsi="Arial"/>
          <w:sz w:val="20"/>
          <w:szCs w:val="20"/>
          <w:color w:val="auto"/>
        </w:rPr>
      </w:pPr>
      <w:r>
        <w:rPr>
          <w:rFonts w:ascii="Arial" w:cs="Arial" w:eastAsia="Arial" w:hAnsi="Arial"/>
          <w:sz w:val="20"/>
          <w:szCs w:val="20"/>
          <w:color w:val="auto"/>
        </w:rPr>
        <w:t>Except as prohibited in paragraph 4(A), this RCA will not preclude Employee from ownership of less than 1% of the outstanding shares of any class of shares of any corporations listed on the New York Stock Exchange or the American Stock Exchange or quoted on NASDAQ.</w:t>
      </w:r>
    </w:p>
    <w:p>
      <w:pPr>
        <w:spacing w:after="0" w:line="185" w:lineRule="exact"/>
        <w:rPr>
          <w:rFonts w:ascii="Arial" w:cs="Arial" w:eastAsia="Arial" w:hAnsi="Arial"/>
          <w:sz w:val="20"/>
          <w:szCs w:val="20"/>
          <w:color w:val="auto"/>
        </w:rPr>
      </w:pPr>
    </w:p>
    <w:p>
      <w:pPr>
        <w:jc w:val="both"/>
        <w:ind w:right="20" w:firstLine="1304"/>
        <w:spacing w:after="0" w:line="250" w:lineRule="auto"/>
        <w:tabs>
          <w:tab w:leader="none" w:pos="1993" w:val="left"/>
        </w:tabs>
        <w:numPr>
          <w:ilvl w:val="2"/>
          <w:numId w:val="76"/>
        </w:numPr>
        <w:rPr>
          <w:rFonts w:ascii="Arial" w:cs="Arial" w:eastAsia="Arial" w:hAnsi="Arial"/>
          <w:sz w:val="20"/>
          <w:szCs w:val="20"/>
          <w:color w:val="auto"/>
        </w:rPr>
      </w:pPr>
      <w:r>
        <w:rPr>
          <w:rFonts w:ascii="Arial" w:cs="Arial" w:eastAsia="Arial" w:hAnsi="Arial"/>
          <w:sz w:val="20"/>
          <w:szCs w:val="20"/>
          <w:color w:val="auto"/>
        </w:rPr>
        <w:t>Employee acknowledges that any employment or relationship in violation of this RCA would necessarily require Employee to use or rely on Information to which Employee became privy during the course of Employee’s employment with Campbell Companies.</w:t>
      </w:r>
    </w:p>
    <w:p>
      <w:pPr>
        <w:spacing w:after="0" w:line="30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6"/>
          <w:szCs w:val="16"/>
          <w:color w:val="auto"/>
        </w:rPr>
        <w:t>*   In accordance with New Jersey law, this paragraph 4 shall not apply to employees of the Company who are employed in the capacity of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714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Non-Competition and Restrictive Covenants Agreement</w:t>
        <w:tab/>
        <w:t>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36" w:lineRule="exact"/>
        <w:rPr>
          <w:sz w:val="20"/>
          <w:szCs w:val="20"/>
          <w:color w:val="auto"/>
        </w:rPr>
      </w:pPr>
    </w:p>
    <w:p>
      <w:pPr>
        <w:jc w:val="both"/>
        <w:ind w:firstLine="1304"/>
        <w:spacing w:after="0" w:line="255" w:lineRule="auto"/>
        <w:tabs>
          <w:tab w:leader="none" w:pos="1908" w:val="left"/>
        </w:tabs>
        <w:numPr>
          <w:ilvl w:val="1"/>
          <w:numId w:val="77"/>
        </w:numPr>
        <w:rPr>
          <w:rFonts w:ascii="Arial" w:cs="Arial" w:eastAsia="Arial" w:hAnsi="Arial"/>
          <w:sz w:val="19"/>
          <w:szCs w:val="19"/>
          <w:color w:val="auto"/>
        </w:rPr>
      </w:pPr>
      <w:r>
        <w:rPr>
          <w:rFonts w:ascii="Arial" w:cs="Arial" w:eastAsia="Arial" w:hAnsi="Arial"/>
          <w:sz w:val="19"/>
          <w:szCs w:val="19"/>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 of commissions, bonuses, benefits, allowances, and any other form of compensation) which Employee had been receiving at the termination of Employee’s employment (the “Non-Compete Payments”). The Non-Compete Payments shall continue for as long as Campbell Companies elects to continue to enforce paragraph 4 of this RCA or until such time as Employee finds employment consistent with this RCA.</w:t>
      </w:r>
    </w:p>
    <w:p>
      <w:pPr>
        <w:spacing w:after="0" w:line="189" w:lineRule="exact"/>
        <w:rPr>
          <w:rFonts w:ascii="Arial" w:cs="Arial" w:eastAsia="Arial" w:hAnsi="Arial"/>
          <w:sz w:val="19"/>
          <w:szCs w:val="19"/>
          <w:color w:val="auto"/>
        </w:rPr>
      </w:pPr>
    </w:p>
    <w:p>
      <w:pPr>
        <w:jc w:val="both"/>
        <w:ind w:firstLine="1304"/>
        <w:spacing w:after="0" w:line="260" w:lineRule="auto"/>
        <w:tabs>
          <w:tab w:leader="none" w:pos="1863" w:val="left"/>
        </w:tabs>
        <w:numPr>
          <w:ilvl w:val="1"/>
          <w:numId w:val="77"/>
        </w:numPr>
        <w:rPr>
          <w:rFonts w:ascii="Arial" w:cs="Arial" w:eastAsia="Arial" w:hAnsi="Arial"/>
          <w:sz w:val="19"/>
          <w:szCs w:val="19"/>
          <w:color w:val="auto"/>
        </w:rPr>
      </w:pPr>
      <w:r>
        <w:rPr>
          <w:rFonts w:ascii="Arial" w:cs="Arial" w:eastAsia="Arial" w:hAnsi="Arial"/>
          <w:sz w:val="19"/>
          <w:szCs w:val="19"/>
          <w:color w:val="auto"/>
        </w:rPr>
        <w:t>As a condition of receiving the Non-Compete Payments, Employee will conscientiously seek employment and will inform Campbell Companies on a monthly basis, in a detailed written account, of all 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180" w:lineRule="exact"/>
        <w:rPr>
          <w:rFonts w:ascii="Arial" w:cs="Arial" w:eastAsia="Arial" w:hAnsi="Arial"/>
          <w:sz w:val="19"/>
          <w:szCs w:val="19"/>
          <w:color w:val="auto"/>
        </w:rPr>
      </w:pPr>
    </w:p>
    <w:p>
      <w:pPr>
        <w:jc w:val="both"/>
        <w:ind w:firstLine="1304"/>
        <w:spacing w:after="0" w:line="244" w:lineRule="auto"/>
        <w:tabs>
          <w:tab w:leader="none" w:pos="1931" w:val="left"/>
        </w:tabs>
        <w:numPr>
          <w:ilvl w:val="1"/>
          <w:numId w:val="77"/>
        </w:numPr>
        <w:rPr>
          <w:rFonts w:ascii="Arial" w:cs="Arial" w:eastAsia="Arial" w:hAnsi="Arial"/>
          <w:sz w:val="20"/>
          <w:szCs w:val="20"/>
          <w:color w:val="auto"/>
        </w:rPr>
      </w:pPr>
      <w:r>
        <w:rPr>
          <w:rFonts w:ascii="Arial" w:cs="Arial" w:eastAsia="Arial" w:hAnsi="Arial"/>
          <w:sz w:val="20"/>
          <w:szCs w:val="20"/>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194" w:lineRule="exact"/>
        <w:rPr>
          <w:rFonts w:ascii="Arial" w:cs="Arial" w:eastAsia="Arial" w:hAnsi="Arial"/>
          <w:sz w:val="20"/>
          <w:szCs w:val="20"/>
          <w:color w:val="auto"/>
        </w:rPr>
      </w:pPr>
    </w:p>
    <w:p>
      <w:pPr>
        <w:jc w:val="both"/>
        <w:ind w:firstLine="1304"/>
        <w:spacing w:after="0" w:line="250" w:lineRule="auto"/>
        <w:tabs>
          <w:tab w:leader="none" w:pos="19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In the event that Employee’s employment is voluntarily terminated or terminated “for cause” as defined in the Plan, Employee shall be required to abide by all of the terms of this RCA including, but not limited to paragraphs 1- 4, without receiving Non-Compete Payments.</w:t>
      </w:r>
    </w:p>
    <w:p>
      <w:pPr>
        <w:spacing w:after="0" w:line="179" w:lineRule="exact"/>
        <w:rPr>
          <w:rFonts w:ascii="Arial" w:cs="Arial" w:eastAsia="Arial" w:hAnsi="Arial"/>
          <w:sz w:val="20"/>
          <w:szCs w:val="20"/>
          <w:color w:val="auto"/>
        </w:rPr>
      </w:pPr>
    </w:p>
    <w:p>
      <w:pPr>
        <w:jc w:val="both"/>
        <w:ind w:firstLine="656"/>
        <w:spacing w:after="0" w:line="260" w:lineRule="auto"/>
        <w:tabs>
          <w:tab w:leader="none" w:pos="99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Integration of Severance Pay</w:t>
      </w:r>
      <w:r>
        <w:rPr>
          <w:rFonts w:ascii="Arial" w:cs="Arial" w:eastAsia="Arial" w:hAnsi="Arial"/>
          <w:sz w:val="19"/>
          <w:szCs w:val="19"/>
          <w:color w:val="auto"/>
        </w:rPr>
        <w:t>. If Employee receives severance pay from Campbell Companies at the time of the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spacing w:after="0" w:line="172" w:lineRule="exact"/>
        <w:rPr>
          <w:rFonts w:ascii="Arial" w:cs="Arial" w:eastAsia="Arial" w:hAnsi="Arial"/>
          <w:sz w:val="19"/>
          <w:szCs w:val="19"/>
          <w:b w:val="1"/>
          <w:bCs w:val="1"/>
          <w:color w:val="auto"/>
        </w:rPr>
      </w:pPr>
    </w:p>
    <w:p>
      <w:pPr>
        <w:ind w:left="1060" w:hanging="404"/>
        <w:spacing w:after="0"/>
        <w:tabs>
          <w:tab w:leader="none" w:pos="10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Immunity Under the Defend Trade Secrets Act of 2016 (“DTSA”)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RCA:</w:t>
      </w:r>
    </w:p>
    <w:p>
      <w:pPr>
        <w:spacing w:after="0" w:line="199" w:lineRule="exact"/>
        <w:rPr>
          <w:rFonts w:ascii="Arial" w:cs="Arial" w:eastAsia="Arial" w:hAnsi="Arial"/>
          <w:sz w:val="18"/>
          <w:szCs w:val="18"/>
          <w:b w:val="1"/>
          <w:bCs w:val="1"/>
          <w:color w:val="auto"/>
        </w:rPr>
      </w:pPr>
    </w:p>
    <w:p>
      <w:pPr>
        <w:jc w:val="both"/>
        <w:ind w:firstLine="1304"/>
        <w:spacing w:after="0" w:line="250" w:lineRule="auto"/>
        <w:tabs>
          <w:tab w:leader="none" w:pos="1781" w:val="left"/>
        </w:tabs>
        <w:numPr>
          <w:ilvl w:val="1"/>
          <w:numId w:val="78"/>
        </w:numPr>
        <w:rPr>
          <w:rFonts w:ascii="Arial" w:cs="Arial" w:eastAsia="Arial" w:hAnsi="Arial"/>
          <w:sz w:val="20"/>
          <w:szCs w:val="20"/>
          <w:color w:val="auto"/>
        </w:rPr>
      </w:pPr>
      <w:r>
        <w:rPr>
          <w:rFonts w:ascii="Arial" w:cs="Arial" w:eastAsia="Arial" w:hAnsi="Arial"/>
          <w:sz w:val="20"/>
          <w:szCs w:val="20"/>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Non-Competition and Restrictive Covenants Agreement</w:t>
        <w:tab/>
        <w:t>3</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or investigating a suspected violation of law; or (ii) is made in a complaint or other document that is filed under seal in a lawsuit or other proceeding.</w:t>
      </w:r>
    </w:p>
    <w:p>
      <w:pPr>
        <w:spacing w:after="0" w:line="177" w:lineRule="exact"/>
        <w:rPr>
          <w:sz w:val="20"/>
          <w:szCs w:val="20"/>
          <w:color w:val="auto"/>
        </w:rPr>
      </w:pPr>
    </w:p>
    <w:p>
      <w:pPr>
        <w:jc w:val="both"/>
        <w:ind w:firstLine="1304"/>
        <w:spacing w:after="0" w:line="246" w:lineRule="auto"/>
        <w:tabs>
          <w:tab w:leader="none" w:pos="1758" w:val="left"/>
        </w:tabs>
        <w:numPr>
          <w:ilvl w:val="1"/>
          <w:numId w:val="79"/>
        </w:numPr>
        <w:rPr>
          <w:rFonts w:ascii="Arial" w:cs="Arial" w:eastAsia="Arial" w:hAnsi="Arial"/>
          <w:sz w:val="20"/>
          <w:szCs w:val="20"/>
          <w:color w:val="auto"/>
        </w:rPr>
      </w:pPr>
      <w:r>
        <w:rPr>
          <w:rFonts w:ascii="Arial" w:cs="Arial" w:eastAsia="Arial" w:hAnsi="Arial"/>
          <w:sz w:val="20"/>
          <w:szCs w:val="20"/>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185" w:lineRule="exact"/>
        <w:rPr>
          <w:rFonts w:ascii="Arial" w:cs="Arial" w:eastAsia="Arial" w:hAnsi="Arial"/>
          <w:sz w:val="20"/>
          <w:szCs w:val="20"/>
          <w:color w:val="auto"/>
        </w:rPr>
      </w:pPr>
    </w:p>
    <w:p>
      <w:pPr>
        <w:ind w:left="1000" w:hanging="344"/>
        <w:spacing w:after="0"/>
        <w:tabs>
          <w:tab w:leader="none" w:pos="100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Enforcement of RCA</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57" w:lineRule="auto"/>
        <w:tabs>
          <w:tab w:leader="none" w:pos="1920" w:val="left"/>
        </w:tabs>
        <w:numPr>
          <w:ilvl w:val="1"/>
          <w:numId w:val="80"/>
        </w:numPr>
        <w:rPr>
          <w:rFonts w:ascii="Arial" w:cs="Arial" w:eastAsia="Arial" w:hAnsi="Arial"/>
          <w:sz w:val="19"/>
          <w:szCs w:val="19"/>
          <w:color w:val="auto"/>
        </w:rPr>
      </w:pPr>
      <w:r>
        <w:rPr>
          <w:rFonts w:ascii="Arial" w:cs="Arial" w:eastAsia="Arial" w:hAnsi="Arial"/>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 law. Employee consents to the issuance of any restraining or preliminary restraining order or injunction which arises from, directly or indirectly, any use, disclosure, or conduct by Employee in violation of this RCA without the need for the posting of a bond. Employee agrees that, if Campbell Companies prevail in any suit or proceeding under 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180" w:lineRule="exact"/>
        <w:rPr>
          <w:rFonts w:ascii="Arial" w:cs="Arial" w:eastAsia="Arial" w:hAnsi="Arial"/>
          <w:sz w:val="19"/>
          <w:szCs w:val="19"/>
          <w:color w:val="auto"/>
        </w:rPr>
      </w:pPr>
    </w:p>
    <w:p>
      <w:pPr>
        <w:jc w:val="both"/>
        <w:ind w:firstLine="1304"/>
        <w:spacing w:after="0" w:line="282" w:lineRule="auto"/>
        <w:tabs>
          <w:tab w:leader="none" w:pos="17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RCA and all terms of Employee’s employment shall be governed by, construed and enforced in accordance with the laws of the State of New Jersey, without giving effect to conflict of law principles. Each party irrevocably agrees that any legal proceeding arising out of, or relating to the subject matter of, this RCA shall be brought in the Superior Court of New Jersey in Camden County or the United States District Court of New Jersey, Camden Vicinage. Each party irrevocably consents to such jurisdiction and venue.</w:t>
      </w:r>
    </w:p>
    <w:p>
      <w:pPr>
        <w:spacing w:after="0" w:line="155" w:lineRule="exact"/>
        <w:rPr>
          <w:rFonts w:ascii="Arial" w:cs="Arial" w:eastAsia="Arial" w:hAnsi="Arial"/>
          <w:sz w:val="18"/>
          <w:szCs w:val="18"/>
          <w:color w:val="auto"/>
        </w:rPr>
      </w:pPr>
    </w:p>
    <w:p>
      <w:pPr>
        <w:ind w:left="1000" w:hanging="344"/>
        <w:spacing w:after="0"/>
        <w:tabs>
          <w:tab w:leader="none" w:pos="100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This RCA shall survive the termination of Employee’s employment for any reason.</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075"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Contract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RCA is not a contract of employment, nor does it impose on Campbell Companies any</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to retain Employee in its employ. To the contrary, Employee is an employee-at-will.</w:t>
      </w:r>
    </w:p>
    <w:p>
      <w:pPr>
        <w:spacing w:after="0" w:line="163" w:lineRule="exact"/>
        <w:rPr>
          <w:rFonts w:ascii="Arial" w:cs="Arial" w:eastAsia="Arial" w:hAnsi="Arial"/>
          <w:sz w:val="20"/>
          <w:szCs w:val="20"/>
          <w:b w:val="1"/>
          <w:bCs w:val="1"/>
          <w:color w:val="auto"/>
        </w:rPr>
      </w:pPr>
    </w:p>
    <w:p>
      <w:pPr>
        <w:jc w:val="both"/>
        <w:ind w:firstLine="656"/>
        <w:spacing w:after="0" w:line="253" w:lineRule="auto"/>
        <w:tabs>
          <w:tab w:leader="none" w:pos="1107"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Reform of RCA</w:t>
      </w:r>
      <w:r>
        <w:rPr>
          <w:rFonts w:ascii="Arial" w:cs="Arial" w:eastAsia="Arial" w:hAnsi="Arial"/>
          <w:sz w:val="20"/>
          <w:szCs w:val="20"/>
          <w:b w:val="1"/>
          <w:bCs w:val="1"/>
          <w:color w:val="auto"/>
        </w:rPr>
        <w:t xml:space="preserve">. </w:t>
      </w:r>
      <w:r>
        <w:rPr>
          <w:rFonts w:ascii="Arial" w:cs="Arial" w:eastAsia="Arial" w:hAnsi="Arial"/>
          <w:sz w:val="20"/>
          <w:szCs w:val="20"/>
          <w:color w:val="auto"/>
        </w:rPr>
        <w:t>No provision of this RCA may be amended or waived unless agreed to in writing and signed by the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Counsel of Campbell. The failure to exercise, or delay in exercising, any right, power, or remedy under this RCA shall not waive any right, power, or remedy which Campbell has under this RCA.</w:t>
      </w:r>
    </w:p>
    <w:p>
      <w:pPr>
        <w:spacing w:after="0" w:line="177" w:lineRule="exact"/>
        <w:rPr>
          <w:rFonts w:ascii="Arial" w:cs="Arial" w:eastAsia="Arial" w:hAnsi="Arial"/>
          <w:sz w:val="20"/>
          <w:szCs w:val="20"/>
          <w:b w:val="1"/>
          <w:bCs w:val="1"/>
          <w:color w:val="auto"/>
        </w:rPr>
      </w:pPr>
    </w:p>
    <w:p>
      <w:pPr>
        <w:jc w:val="both"/>
        <w:ind w:firstLine="656"/>
        <w:spacing w:after="0" w:line="248" w:lineRule="auto"/>
        <w:tabs>
          <w:tab w:leader="none" w:pos="119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 or Reform by Court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any provision of this RCA is deemed by a court to be broader than</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Non-Competition and Restrictive Covenants Agreement</w:t>
        <w:tab/>
        <w:t>4</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30" w:lineRule="exact"/>
        <w:rPr>
          <w:sz w:val="20"/>
          <w:szCs w:val="20"/>
          <w:color w:val="auto"/>
        </w:rPr>
      </w:pPr>
    </w:p>
    <w:p>
      <w:pPr>
        <w:jc w:val="both"/>
        <w:ind w:firstLine="656"/>
        <w:spacing w:after="0" w:line="253" w:lineRule="auto"/>
        <w:tabs>
          <w:tab w:leader="none" w:pos="1107"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RCA constitutes the entire understanding between the parties to this RCA with respect to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in connection with the receipt and acceptance of the LTI award. Unless specified, this RCA does not supersede any prior agreements, understandings and arrangements, oral or written, between the parties.</w:t>
      </w:r>
    </w:p>
    <w:p>
      <w:pPr>
        <w:spacing w:after="0" w:line="177"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color w:val="auto"/>
        </w:rPr>
        <w:t>EMPLOYEE ACKNOWLEDGES THAT HE/SHE HAS READ THE ABOVE RCA AND HAS BEEN GIVEN ADEQUATE TIME TO CONSULT WITH AN ATTORNEY OR OTHER ADVISOR OF HIS/HER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Non-Competition and Restrictive Covenants Agreement</w:t>
        <w:tab/>
        <w:t>5</w:t>
      </w:r>
    </w:p>
    <w:p>
      <w:pPr>
        <w:sectPr>
          <w:pgSz w:w="11900" w:h="16838" w:orient="portrait"/>
          <w:cols w:equalWidth="0" w:num="1">
            <w:col w:w="11240"/>
          </w:cols>
          <w:pgMar w:left="320" w:top="144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10(t)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PERFORMANCE RESTRICTED STOCK UNIT AGREEMENT</w:t>
      </w:r>
      <w:r>
        <w:rPr>
          <w:rFonts w:ascii="Arial" w:cs="Arial" w:eastAsia="Arial" w:hAnsi="Arial"/>
          <w:sz w:val="20"/>
          <w:szCs w:val="20"/>
          <w:color w:val="auto"/>
        </w:rPr>
        <w:t xml:space="preserve"> (“Agreement”) between the Campbell Soup Company (the “Company”) and [Employee Full Legal Name] (“Grantee”), an employee of the Company or one of its participating subsidiaries on [ ] (the “Grant Date”).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award Grantee performance restricted stock units (the “Award), which each represent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one share of Capital Stock, $.0375 par value of the Company (a “Share” or “Shares”) as hereinafter provided (the “Performance Stock Units”), under the Company’s 2015 Long-Term Incentive Plan (the “Plan”) and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by accepting this Award, the Grantee agrees to the terms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valuable consideration the legal sufficiency of which is hereby acknowledged,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Company and Grantee, each intending to be legally bound hereby, agree as follows:</w:t>
      </w:r>
    </w:p>
    <w:p>
      <w:pPr>
        <w:spacing w:after="0" w:line="194" w:lineRule="exact"/>
        <w:rPr>
          <w:sz w:val="20"/>
          <w:szCs w:val="20"/>
          <w:color w:val="auto"/>
        </w:rPr>
      </w:pPr>
    </w:p>
    <w:p>
      <w:pPr>
        <w:jc w:val="both"/>
        <w:ind w:firstLine="656"/>
        <w:spacing w:after="0" w:line="248" w:lineRule="auto"/>
        <w:tabs>
          <w:tab w:leader="none" w:pos="1156"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Form of Award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Grantee on the Grant Date [#Granted] Performance Stock Units.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Performance Stock Units are in all respects limited and conditioned as hereinafter provided, and are subject in all respects to the Plan’s terms and conditions, as amended. During the </w:t>
      </w:r>
      <w:r>
        <w:rPr>
          <w:rFonts w:ascii="Arial" w:cs="Arial" w:eastAsia="Arial" w:hAnsi="Arial"/>
          <w:sz w:val="20"/>
          <w:szCs w:val="20"/>
          <w:b w:val="1"/>
          <w:bCs w:val="1"/>
          <w:color w:val="auto"/>
        </w:rPr>
        <w:t>performance cycle</w:t>
      </w:r>
      <w:r>
        <w:rPr>
          <w:rFonts w:ascii="Arial" w:cs="Arial" w:eastAsia="Arial" w:hAnsi="Arial"/>
          <w:sz w:val="20"/>
          <w:szCs w:val="20"/>
          <w:color w:val="auto"/>
        </w:rPr>
        <w:t>, the Award shall consist of stock units but any portion of the Award that ultimately vests will be delivered in Shares.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number of Shares that will vest and be delivered, if any, may range from 0-200% of [#Granted] Shares, as applicable.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Arial" w:cs="Arial" w:eastAsia="Arial" w:hAnsi="Arial"/>
          <w:sz w:val="20"/>
          <w:szCs w:val="20"/>
          <w:b w:val="1"/>
          <w:bCs w:val="1"/>
          <w:color w:val="auto"/>
        </w:rPr>
        <w:t>performance cycle</w:t>
      </w:r>
      <w:r>
        <w:rPr>
          <w:rFonts w:ascii="Arial" w:cs="Arial" w:eastAsia="Arial" w:hAnsi="Arial"/>
          <w:sz w:val="20"/>
          <w:szCs w:val="20"/>
          <w:color w:val="auto"/>
        </w:rPr>
        <w:t xml:space="preserve"> (each a “Vesting Date” and as defined in the applicable LTI Brochure).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185" w:lineRule="exact"/>
        <w:rPr>
          <w:sz w:val="20"/>
          <w:szCs w:val="20"/>
          <w:color w:val="auto"/>
        </w:rPr>
      </w:pPr>
    </w:p>
    <w:p>
      <w:pPr>
        <w:jc w:val="both"/>
        <w:ind w:firstLine="656"/>
        <w:spacing w:after="0" w:line="253" w:lineRule="auto"/>
        <w:tabs>
          <w:tab w:leader="none" w:pos="1008"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Full or Pro-Rata Awards upon Certain Events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Award shall terminate and become null and void if and when the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ceases to be an employee of the Company or its subsidiaries prior to the Vesting Date due to termination for Cause, voluntary resignation or Retirement, except as provided below:</w:t>
      </w:r>
    </w:p>
    <w:p>
      <w:pPr>
        <w:spacing w:after="0" w:line="183" w:lineRule="exact"/>
        <w:rPr>
          <w:rFonts w:ascii="Arial" w:cs="Arial" w:eastAsia="Arial" w:hAnsi="Arial"/>
          <w:sz w:val="20"/>
          <w:szCs w:val="20"/>
          <w:b w:val="1"/>
          <w:bCs w:val="1"/>
          <w:color w:val="auto"/>
        </w:rPr>
      </w:pPr>
    </w:p>
    <w:p>
      <w:pPr>
        <w:jc w:val="both"/>
        <w:ind w:right="20" w:firstLine="1304"/>
        <w:spacing w:after="0" w:line="269" w:lineRule="auto"/>
        <w:tabs>
          <w:tab w:leader="none" w:pos="1934" w:val="left"/>
        </w:tabs>
        <w:numPr>
          <w:ilvl w:val="1"/>
          <w:numId w:val="83"/>
        </w:numPr>
        <w:rPr>
          <w:rFonts w:ascii="Arial" w:cs="Arial" w:eastAsia="Arial" w:hAnsi="Arial"/>
          <w:sz w:val="19"/>
          <w:szCs w:val="19"/>
          <w:color w:val="auto"/>
        </w:rPr>
      </w:pPr>
      <w:r>
        <w:rPr>
          <w:rFonts w:ascii="Arial" w:cs="Arial" w:eastAsia="Arial" w:hAnsi="Arial"/>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ProRata Vesting of the Award determined as of the date of termination.</w:t>
      </w:r>
    </w:p>
    <w:p>
      <w:pPr>
        <w:spacing w:after="0" w:line="196" w:lineRule="exact"/>
        <w:rPr>
          <w:rFonts w:ascii="Arial" w:cs="Arial" w:eastAsia="Arial" w:hAnsi="Arial"/>
          <w:sz w:val="19"/>
          <w:szCs w:val="19"/>
          <w:color w:val="auto"/>
        </w:rPr>
      </w:pPr>
    </w:p>
    <w:p>
      <w:pPr>
        <w:jc w:val="both"/>
        <w:ind w:firstLine="1304"/>
        <w:spacing w:after="0" w:line="250" w:lineRule="auto"/>
        <w:tabs>
          <w:tab w:leader="none" w:pos="1932"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Any Termination Prior to Six-Month Anniversary of Grant Date</w:t>
      </w:r>
      <w:r>
        <w:rPr>
          <w:rFonts w:ascii="Arial" w:cs="Arial" w:eastAsia="Arial" w:hAnsi="Arial"/>
          <w:sz w:val="20"/>
          <w:szCs w:val="20"/>
          <w:color w:val="auto"/>
        </w:rPr>
        <w:t>. If Grantee ceases to be an employee of the Company for any reason before six (6) months have elapsed from the Grant Date, the Award shall be cancelled by the Company and Grantee shall forfeit the entire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1</w:t>
      </w:r>
    </w:p>
    <w:p>
      <w:pPr>
        <w:sectPr>
          <w:pgSz w:w="11900" w:h="16838" w:orient="portrait"/>
          <w:cols w:equalWidth="0" w:num="1">
            <w:col w:w="11240"/>
          </w:cols>
          <w:pgMar w:left="320" w:top="1129" w:right="339" w:bottom="1440" w:gutter="0" w:footer="0" w:header="0"/>
        </w:sectPr>
      </w:pPr>
    </w:p>
    <w:bookmarkStart w:id="100" w:name="page101"/>
    <w:bookmarkEnd w:id="100"/>
    <w:p>
      <w:pPr>
        <w:ind w:left="1940" w:hanging="636"/>
        <w:spacing w:after="0"/>
        <w:tabs>
          <w:tab w:leader="none" w:pos="19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Notwithstanding the forgoing paragraph 2(a) above, if Grantee’s employment is terminated at least six</w:t>
      </w:r>
    </w:p>
    <w:p>
      <w:pPr>
        <w:spacing w:after="0" w:line="38" w:lineRule="exact"/>
        <w:rPr>
          <w:rFonts w:ascii="Arial" w:cs="Arial" w:eastAsia="Arial" w:hAnsi="Arial"/>
          <w:sz w:val="18"/>
          <w:szCs w:val="18"/>
          <w:color w:val="auto"/>
        </w:rPr>
      </w:pPr>
    </w:p>
    <w:p>
      <w:pPr>
        <w:jc w:val="both"/>
        <w:ind w:firstLine="8"/>
        <w:spacing w:after="0" w:line="255" w:lineRule="auto"/>
        <w:tabs>
          <w:tab w:leader="none" w:pos="296"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months following the Grant Date by the Company other than for Cause or as a result of Retirement, Total Disability, or death, and the terms of the Non-Competition and Restrictive Covenants Agreement (“RCA”)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subsequently violated, the Committee or its delegate, in its sole direction, may cancel the unvested portions of the Award, including any Pro 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211" w:lineRule="exact"/>
        <w:rPr>
          <w:rFonts w:ascii="Arial" w:cs="Arial" w:eastAsia="Arial" w:hAnsi="Arial"/>
          <w:sz w:val="19"/>
          <w:szCs w:val="19"/>
          <w:color w:val="auto"/>
        </w:rPr>
      </w:pPr>
    </w:p>
    <w:p>
      <w:pPr>
        <w:jc w:val="both"/>
        <w:ind w:firstLine="1304"/>
        <w:spacing w:after="0" w:line="250" w:lineRule="auto"/>
        <w:tabs>
          <w:tab w:leader="none" w:pos="1932"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Integration with Severance Benefits</w:t>
      </w:r>
      <w:r>
        <w:rPr>
          <w:rFonts w:ascii="Arial" w:cs="Arial" w:eastAsia="Arial" w:hAnsi="Arial"/>
          <w:sz w:val="20"/>
          <w:szCs w:val="20"/>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1"/>
          <w:numId w:val="85"/>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shall have the meanings set forth below:</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592" w:val="left"/>
        </w:tabs>
        <w:numPr>
          <w:ilvl w:val="2"/>
          <w:numId w:val="85"/>
        </w:numPr>
        <w:rPr>
          <w:rFonts w:ascii="Arial" w:cs="Arial" w:eastAsia="Arial" w:hAnsi="Arial"/>
          <w:sz w:val="20"/>
          <w:szCs w:val="20"/>
          <w:color w:val="auto"/>
        </w:rPr>
      </w:pPr>
      <w:r>
        <w:rPr>
          <w:rFonts w:ascii="Arial" w:cs="Arial" w:eastAsia="Arial" w:hAnsi="Arial"/>
          <w:sz w:val="20"/>
          <w:szCs w:val="20"/>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2"/>
          <w:numId w:val="85"/>
        </w:numPr>
        <w:rPr>
          <w:rFonts w:ascii="Arial" w:cs="Arial" w:eastAsia="Arial" w:hAnsi="Arial"/>
          <w:sz w:val="20"/>
          <w:szCs w:val="20"/>
          <w:color w:val="auto"/>
        </w:rPr>
      </w:pPr>
      <w:r>
        <w:rPr>
          <w:rFonts w:ascii="Arial" w:cs="Arial" w:eastAsia="Arial" w:hAnsi="Arial"/>
          <w:sz w:val="20"/>
          <w:szCs w:val="20"/>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185" w:lineRule="exact"/>
        <w:rPr>
          <w:rFonts w:ascii="Arial" w:cs="Arial" w:eastAsia="Arial" w:hAnsi="Arial"/>
          <w:sz w:val="20"/>
          <w:szCs w:val="20"/>
          <w:color w:val="auto"/>
        </w:rPr>
      </w:pPr>
    </w:p>
    <w:p>
      <w:pPr>
        <w:jc w:val="both"/>
        <w:ind w:firstLine="1952"/>
        <w:spacing w:after="0" w:line="263" w:lineRule="auto"/>
        <w:tabs>
          <w:tab w:leader="none" w:pos="2592" w:val="left"/>
        </w:tabs>
        <w:numPr>
          <w:ilvl w:val="2"/>
          <w:numId w:val="85"/>
        </w:numPr>
        <w:rPr>
          <w:rFonts w:ascii="Arial" w:cs="Arial" w:eastAsia="Arial" w:hAnsi="Arial"/>
          <w:sz w:val="19"/>
          <w:szCs w:val="19"/>
          <w:color w:val="auto"/>
        </w:rPr>
      </w:pPr>
      <w:r>
        <w:rPr>
          <w:rFonts w:ascii="Arial" w:cs="Arial" w:eastAsia="Arial" w:hAnsi="Arial"/>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Arial" w:cs="Arial" w:eastAsia="Arial" w:hAnsi="Arial"/>
          <w:sz w:val="19"/>
          <w:szCs w:val="19"/>
          <w:b w:val="1"/>
          <w:bCs w:val="1"/>
          <w:color w:val="auto"/>
        </w:rPr>
        <w:t>performance cycle</w:t>
      </w:r>
      <w:r>
        <w:rPr>
          <w:rFonts w:ascii="Arial" w:cs="Arial" w:eastAsia="Arial" w:hAnsi="Arial"/>
          <w:sz w:val="19"/>
          <w:szCs w:val="19"/>
          <w:color w:val="auto"/>
        </w:rPr>
        <w:t xml:space="preserve"> as set forth in paragraph 1 above. Thereafter, the number of Shares deliverable shall be rounded down to the nearest whole Share.</w:t>
      </w:r>
    </w:p>
    <w:p>
      <w:pPr>
        <w:spacing w:after="0" w:line="176" w:lineRule="exact"/>
        <w:rPr>
          <w:rFonts w:ascii="Arial" w:cs="Arial" w:eastAsia="Arial" w:hAnsi="Arial"/>
          <w:sz w:val="19"/>
          <w:szCs w:val="19"/>
          <w:color w:val="auto"/>
        </w:rPr>
      </w:pPr>
    </w:p>
    <w:p>
      <w:pPr>
        <w:jc w:val="both"/>
        <w:ind w:firstLine="1952"/>
        <w:spacing w:after="0" w:line="291" w:lineRule="auto"/>
        <w:tabs>
          <w:tab w:leader="none" w:pos="2592" w:val="left"/>
        </w:tabs>
        <w:numPr>
          <w:ilvl w:val="2"/>
          <w:numId w:val="85"/>
        </w:numPr>
        <w:rPr>
          <w:rFonts w:ascii="Arial" w:cs="Arial" w:eastAsia="Arial" w:hAnsi="Arial"/>
          <w:sz w:val="18"/>
          <w:szCs w:val="18"/>
          <w:color w:val="auto"/>
        </w:rPr>
      </w:pPr>
      <w:r>
        <w:rPr>
          <w:rFonts w:ascii="Arial" w:cs="Arial" w:eastAsia="Arial" w:hAnsi="Arial"/>
          <w:sz w:val="18"/>
          <w:szCs w:val="18"/>
          <w:color w:val="auto"/>
        </w:rPr>
        <w:t>“Termination of employment,” “separation from service,” and similar references mean a separation from service within the meaning of Code Section 409A with the Company and/or any of its subsidiaries or affiliates, which includes circumstances in which Grantee is reasonably anticipated not to perform further services with the Company or its affiliates or subsidiaries.</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Any Shares deliverable under this Paragraph 2 shall be delivered at the same time long-term incentive awards are normally paid and/or delivered after the end of the </w:t>
      </w:r>
      <w:r>
        <w:rPr>
          <w:rFonts w:ascii="Arial" w:cs="Arial" w:eastAsia="Arial" w:hAnsi="Arial"/>
          <w:sz w:val="20"/>
          <w:szCs w:val="20"/>
          <w:b w:val="1"/>
          <w:bCs w:val="1"/>
          <w:color w:val="auto"/>
        </w:rPr>
        <w:t>performance cycle</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Section 409A(a)(2)(B)(i) of the Internal Revenue Code of 1986, as amended (the “Code”) (i.e., a key employee as defined in Code Section 416(i) without regard to paragraph</w:t>
      </w:r>
    </w:p>
    <w:p>
      <w:pPr>
        <w:spacing w:after="0" w:line="2" w:lineRule="exact"/>
        <w:rPr>
          <w:sz w:val="20"/>
          <w:szCs w:val="20"/>
          <w:color w:val="auto"/>
        </w:rPr>
      </w:pPr>
    </w:p>
    <w:p>
      <w:pPr>
        <w:ind w:firstLine="8"/>
        <w:spacing w:after="0" w:line="244" w:lineRule="auto"/>
        <w:tabs>
          <w:tab w:leader="none" w:pos="2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thereof). Key Employees shall be determined in accordance with Code Section 409A. Currently, the Company classifies all employees in Salary Grade Levels A and B as Key Employees.</w:t>
      </w:r>
    </w:p>
    <w:p>
      <w:pPr>
        <w:spacing w:after="0" w:line="185" w:lineRule="exact"/>
        <w:rPr>
          <w:rFonts w:ascii="Arial" w:cs="Arial" w:eastAsia="Arial" w:hAnsi="Arial"/>
          <w:sz w:val="20"/>
          <w:szCs w:val="20"/>
          <w:color w:val="auto"/>
        </w:rPr>
      </w:pPr>
    </w:p>
    <w:p>
      <w:pPr>
        <w:ind w:firstLine="656"/>
        <w:spacing w:after="0" w:line="267" w:lineRule="auto"/>
        <w:tabs>
          <w:tab w:leader="none" w:pos="1035" w:val="left"/>
        </w:tabs>
        <w:numPr>
          <w:ilvl w:val="1"/>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After a Vesting Date, Grantee shall be paid in cash the accumulated amount equivalent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which would have been paid on such Shares underlying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2</w:t>
      </w:r>
    </w:p>
    <w:p>
      <w:pPr>
        <w:sectPr>
          <w:pgSz w:w="11900" w:h="16838" w:orient="portrait"/>
          <w:cols w:equalWidth="0" w:num="1">
            <w:col w:w="11240"/>
          </w:cols>
          <w:pgMar w:left="320" w:top="1135" w:right="339" w:bottom="1440" w:gutter="0" w:footer="0" w:header="0"/>
        </w:sectPr>
      </w:pPr>
    </w:p>
    <w:bookmarkStart w:id="101" w:name="page102"/>
    <w:bookmarkEnd w:id="101"/>
    <w:p>
      <w:pPr>
        <w:jc w:val="both"/>
        <w:spacing w:after="0" w:line="291" w:lineRule="auto"/>
        <w:rPr>
          <w:sz w:val="20"/>
          <w:szCs w:val="20"/>
          <w:color w:val="auto"/>
        </w:rPr>
      </w:pPr>
      <w:r>
        <w:rPr>
          <w:rFonts w:ascii="Arial" w:cs="Arial" w:eastAsia="Arial" w:hAnsi="Arial"/>
          <w:sz w:val="18"/>
          <w:szCs w:val="18"/>
          <w:color w:val="auto"/>
        </w:rPr>
        <w:t>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146" w:lineRule="exact"/>
        <w:rPr>
          <w:sz w:val="20"/>
          <w:szCs w:val="20"/>
          <w:color w:val="auto"/>
        </w:rPr>
      </w:pPr>
    </w:p>
    <w:p>
      <w:pPr>
        <w:jc w:val="both"/>
        <w:ind w:firstLine="656"/>
        <w:spacing w:after="0" w:line="244" w:lineRule="auto"/>
        <w:tabs>
          <w:tab w:leader="none" w:pos="1021" w:val="left"/>
        </w:tabs>
        <w:numPr>
          <w:ilvl w:val="1"/>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Plan Terms</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is subject to the terms and conditions of the Plan. Such terms and conditions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are 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85" w:lineRule="exact"/>
        <w:rPr>
          <w:rFonts w:ascii="Arial" w:cs="Arial" w:eastAsia="Arial" w:hAnsi="Arial"/>
          <w:sz w:val="20"/>
          <w:szCs w:val="20"/>
          <w:b w:val="1"/>
          <w:bCs w:val="1"/>
          <w:color w:val="auto"/>
        </w:rPr>
      </w:pPr>
    </w:p>
    <w:p>
      <w:pPr>
        <w:ind w:left="1000" w:hanging="344"/>
        <w:spacing w:after="0"/>
        <w:tabs>
          <w:tab w:leader="none" w:pos="1000" w:val="left"/>
        </w:tabs>
        <w:numPr>
          <w:ilvl w:val="1"/>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Cancellation</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Rescission of Award after Vesting or Distribution</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69" w:lineRule="auto"/>
        <w:tabs>
          <w:tab w:leader="none" w:pos="1934" w:val="left"/>
        </w:tabs>
        <w:numPr>
          <w:ilvl w:val="2"/>
          <w:numId w:val="87"/>
        </w:numPr>
        <w:rPr>
          <w:rFonts w:ascii="Arial" w:cs="Arial" w:eastAsia="Arial" w:hAnsi="Arial"/>
          <w:sz w:val="19"/>
          <w:szCs w:val="19"/>
          <w:color w:val="auto"/>
        </w:rPr>
      </w:pPr>
      <w:r>
        <w:rPr>
          <w:rFonts w:ascii="Arial" w:cs="Arial" w:eastAsia="Arial" w:hAnsi="Arial"/>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169" w:lineRule="exact"/>
        <w:rPr>
          <w:rFonts w:ascii="Arial" w:cs="Arial" w:eastAsia="Arial" w:hAnsi="Arial"/>
          <w:sz w:val="19"/>
          <w:szCs w:val="19"/>
          <w:color w:val="auto"/>
        </w:rPr>
      </w:pPr>
    </w:p>
    <w:p>
      <w:pPr>
        <w:ind w:left="2600" w:hanging="648"/>
        <w:spacing w:after="0"/>
        <w:tabs>
          <w:tab w:leader="none" w:pos="2600" w:val="left"/>
        </w:tabs>
        <w:numPr>
          <w:ilvl w:val="3"/>
          <w:numId w:val="87"/>
        </w:numPr>
        <w:rPr>
          <w:rFonts w:ascii="Arial" w:cs="Arial" w:eastAsia="Arial" w:hAnsi="Arial"/>
          <w:sz w:val="18"/>
          <w:szCs w:val="18"/>
          <w:color w:val="auto"/>
        </w:rPr>
      </w:pPr>
      <w:r>
        <w:rPr>
          <w:rFonts w:ascii="Arial" w:cs="Arial" w:eastAsia="Arial" w:hAnsi="Arial"/>
          <w:sz w:val="18"/>
          <w:szCs w:val="18"/>
          <w:color w:val="auto"/>
        </w:rPr>
        <w:t>The Company shall notify Grantee in writing of any such rescission not later than one-hundred and eighty</w:t>
      </w:r>
    </w:p>
    <w:p>
      <w:pPr>
        <w:spacing w:after="0" w:line="38" w:lineRule="exact"/>
        <w:rPr>
          <w:rFonts w:ascii="Arial" w:cs="Arial" w:eastAsia="Arial" w:hAnsi="Arial"/>
          <w:sz w:val="18"/>
          <w:szCs w:val="18"/>
          <w:color w:val="auto"/>
        </w:rPr>
      </w:pPr>
    </w:p>
    <w:p>
      <w:pPr>
        <w:ind w:left="480" w:hanging="472"/>
        <w:spacing w:after="0"/>
        <w:tabs>
          <w:tab w:leader="none" w:pos="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days after the Company obtains knowledge of Grantee’s breach of his or her duty of loyalty as described in Subparagraph 5(a) above.</w:t>
      </w:r>
    </w:p>
    <w:p>
      <w:pPr>
        <w:spacing w:after="0" w:line="222" w:lineRule="exact"/>
        <w:rPr>
          <w:rFonts w:ascii="Arial" w:cs="Arial" w:eastAsia="Arial" w:hAnsi="Arial"/>
          <w:sz w:val="18"/>
          <w:szCs w:val="18"/>
          <w:color w:val="auto"/>
        </w:rPr>
      </w:pPr>
    </w:p>
    <w:p>
      <w:pPr>
        <w:jc w:val="both"/>
        <w:ind w:firstLine="1952"/>
        <w:spacing w:after="0" w:line="243" w:lineRule="auto"/>
        <w:tabs>
          <w:tab w:leader="none" w:pos="2592" w:val="left"/>
        </w:tabs>
        <w:numPr>
          <w:ilvl w:val="3"/>
          <w:numId w:val="88"/>
        </w:numPr>
        <w:rPr>
          <w:rFonts w:ascii="Arial" w:cs="Arial" w:eastAsia="Arial" w:hAnsi="Arial"/>
          <w:sz w:val="20"/>
          <w:szCs w:val="20"/>
          <w:color w:val="auto"/>
        </w:rPr>
      </w:pPr>
      <w:r>
        <w:rPr>
          <w:rFonts w:ascii="Arial" w:cs="Arial" w:eastAsia="Arial" w:hAnsi="Arial"/>
          <w:sz w:val="20"/>
          <w:szCs w:val="20"/>
          <w:color w:val="auto"/>
        </w:rPr>
        <w:t>Within ten (10) days after receiving a such notice from the Company: (i) Grantee must surrender to the Company the Shares acquired upon settlement of 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pacing w:after="0" w:line="195" w:lineRule="exact"/>
        <w:rPr>
          <w:rFonts w:ascii="Arial" w:cs="Arial" w:eastAsia="Arial" w:hAnsi="Arial"/>
          <w:sz w:val="20"/>
          <w:szCs w:val="20"/>
          <w:color w:val="auto"/>
        </w:rPr>
      </w:pPr>
    </w:p>
    <w:p>
      <w:pPr>
        <w:jc w:val="both"/>
        <w:ind w:firstLine="1304"/>
        <w:spacing w:after="0" w:line="244" w:lineRule="auto"/>
        <w:tabs>
          <w:tab w:leader="none" w:pos="1932" w:val="left"/>
        </w:tabs>
        <w:numPr>
          <w:ilvl w:val="2"/>
          <w:numId w:val="88"/>
        </w:numPr>
        <w:rPr>
          <w:rFonts w:ascii="Arial" w:cs="Arial" w:eastAsia="Arial" w:hAnsi="Arial"/>
          <w:sz w:val="20"/>
          <w:szCs w:val="20"/>
          <w:color w:val="auto"/>
        </w:rPr>
      </w:pPr>
      <w:r>
        <w:rPr>
          <w:rFonts w:ascii="Arial" w:cs="Arial" w:eastAsia="Arial" w:hAnsi="Arial"/>
          <w:sz w:val="20"/>
          <w:szCs w:val="20"/>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Arial" w:cs="Arial" w:eastAsia="Arial" w:hAnsi="Arial"/>
          <w:sz w:val="20"/>
          <w:szCs w:val="20"/>
          <w:b w:val="1"/>
          <w:bCs w:val="1"/>
          <w:color w:val="auto"/>
        </w:rPr>
        <w:t>performance cycle</w:t>
      </w:r>
      <w:r>
        <w:rPr>
          <w:rFonts w:ascii="Arial" w:cs="Arial" w:eastAsia="Arial" w:hAnsi="Arial"/>
          <w:sz w:val="20"/>
          <w:szCs w:val="20"/>
          <w:color w:val="auto"/>
        </w:rPr>
        <w:t xml:space="preserve"> (as defined in the applicable LTI Brochure), this Award shall be cancelled without further action by the Committee or its delegate.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spacing w:after="0" w:line="180" w:lineRule="exact"/>
        <w:rPr>
          <w:sz w:val="20"/>
          <w:szCs w:val="20"/>
          <w:color w:val="auto"/>
        </w:rPr>
      </w:pPr>
    </w:p>
    <w:p>
      <w:pPr>
        <w:jc w:val="both"/>
        <w:ind w:firstLine="656"/>
        <w:spacing w:after="0" w:line="245" w:lineRule="auto"/>
        <w:tabs>
          <w:tab w:leader="none" w:pos="1075"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 of Taxes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require Grantee to remit an amount equal to any tax withholding required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state 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3</w:t>
      </w:r>
    </w:p>
    <w:p>
      <w:pPr>
        <w:sectPr>
          <w:pgSz w:w="11900" w:h="16838" w:orient="portrait"/>
          <w:cols w:equalWidth="0" w:num="1">
            <w:col w:w="11240"/>
          </w:cols>
          <w:pgMar w:left="320" w:top="1135" w:right="339" w:bottom="1440" w:gutter="0" w:footer="0" w:header="0"/>
        </w:sectPr>
      </w:pPr>
    </w:p>
    <w:bookmarkStart w:id="102" w:name="page103"/>
    <w:bookmarkEnd w:id="102"/>
    <w:p>
      <w:pPr>
        <w:jc w:val="both"/>
        <w:ind w:firstLine="656"/>
        <w:spacing w:after="0" w:line="253" w:lineRule="auto"/>
        <w:tabs>
          <w:tab w:leader="none" w:pos="1089"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Limits on 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right in the Performance Stock Units awarded under this Agreement and any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therein may not be sold, pledged, assigned, hypothecated, transferred, or disposed of in any manner, other than by will or by the laws of descent or distribution. The Award shall not be subject to execution, attachment or other process.</w:t>
      </w:r>
    </w:p>
    <w:p>
      <w:pPr>
        <w:spacing w:after="0" w:line="177" w:lineRule="exact"/>
        <w:rPr>
          <w:rFonts w:ascii="Arial" w:cs="Arial" w:eastAsia="Arial" w:hAnsi="Arial"/>
          <w:sz w:val="20"/>
          <w:szCs w:val="20"/>
          <w:b w:val="1"/>
          <w:bCs w:val="1"/>
          <w:color w:val="auto"/>
        </w:rPr>
      </w:pPr>
    </w:p>
    <w:p>
      <w:pPr>
        <w:jc w:val="both"/>
        <w:ind w:firstLine="656"/>
        <w:spacing w:after="0" w:line="253" w:lineRule="auto"/>
        <w:tabs>
          <w:tab w:leader="none" w:pos="1048"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Securities Laws</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not be issued with respect to this Award unless the issuance and delivery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Shares shall comply with all relevant provisions of state and federal laws, rules and regulations, and, in the discretion of the Company, shall be further subject to the approval of counsel for the Company with respect to that compliance.</w:t>
      </w:r>
    </w:p>
    <w:p>
      <w:pPr>
        <w:spacing w:after="0" w:line="177" w:lineRule="exact"/>
        <w:rPr>
          <w:rFonts w:ascii="Arial" w:cs="Arial" w:eastAsia="Arial" w:hAnsi="Arial"/>
          <w:sz w:val="20"/>
          <w:szCs w:val="20"/>
          <w:b w:val="1"/>
          <w:bCs w:val="1"/>
          <w:color w:val="auto"/>
        </w:rPr>
      </w:pPr>
    </w:p>
    <w:p>
      <w:pPr>
        <w:jc w:val="both"/>
        <w:ind w:right="20" w:firstLine="656"/>
        <w:spacing w:after="0" w:line="248" w:lineRule="auto"/>
        <w:tabs>
          <w:tab w:leader="none" w:pos="1084"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Employment or Voting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contained in the Plan or this Agreement shall give any employee the right to be</w:t>
      </w:r>
      <w:r>
        <w:rPr>
          <w:rFonts w:ascii="Arial" w:cs="Arial" w:eastAsia="Arial" w:hAnsi="Arial"/>
          <w:sz w:val="20"/>
          <w:szCs w:val="20"/>
          <w:b w:val="1"/>
          <w:bCs w:val="1"/>
          <w:color w:val="auto"/>
        </w:rPr>
        <w:t xml:space="preserve"> </w:t>
      </w:r>
      <w:r>
        <w:rPr>
          <w:rFonts w:ascii="Arial" w:cs="Arial" w:eastAsia="Arial" w:hAnsi="Arial"/>
          <w:sz w:val="20"/>
          <w:szCs w:val="20"/>
          <w:color w:val="auto"/>
        </w:rPr>
        <w:t>retained in the employment of the Company or its subsidiaries or 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183" w:lineRule="exact"/>
        <w:rPr>
          <w:rFonts w:ascii="Arial" w:cs="Arial" w:eastAsia="Arial" w:hAnsi="Arial"/>
          <w:sz w:val="20"/>
          <w:szCs w:val="20"/>
          <w:b w:val="1"/>
          <w:bCs w:val="1"/>
          <w:color w:val="auto"/>
        </w:rPr>
      </w:pPr>
    </w:p>
    <w:p>
      <w:pPr>
        <w:jc w:val="both"/>
        <w:ind w:firstLine="656"/>
        <w:spacing w:after="0" w:line="248" w:lineRule="auto"/>
        <w:tabs>
          <w:tab w:leader="none" w:pos="1107"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Internal Revenue 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interpreted, operated, and administered in a manner so as not</w:t>
      </w:r>
      <w:r>
        <w:rPr>
          <w:rFonts w:ascii="Arial" w:cs="Arial" w:eastAsia="Arial" w:hAnsi="Arial"/>
          <w:sz w:val="20"/>
          <w:szCs w:val="20"/>
          <w:b w:val="1"/>
          <w:bCs w:val="1"/>
          <w:color w:val="auto"/>
        </w:rPr>
        <w:t xml:space="preserve"> </w:t>
      </w:r>
      <w:r>
        <w:rPr>
          <w:rFonts w:ascii="Arial" w:cs="Arial" w:eastAsia="Arial" w:hAnsi="Arial"/>
          <w:sz w:val="20"/>
          <w:szCs w:val="20"/>
          <w:color w:val="auto"/>
        </w:rPr>
        <w:t>to subject 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83" w:lineRule="exact"/>
        <w:rPr>
          <w:rFonts w:ascii="Arial" w:cs="Arial" w:eastAsia="Arial" w:hAnsi="Arial"/>
          <w:sz w:val="20"/>
          <w:szCs w:val="20"/>
          <w:b w:val="1"/>
          <w:bCs w:val="1"/>
          <w:color w:val="auto"/>
        </w:rPr>
      </w:pPr>
    </w:p>
    <w:p>
      <w:pPr>
        <w:jc w:val="both"/>
        <w:ind w:firstLine="656"/>
        <w:spacing w:after="0" w:line="285" w:lineRule="auto"/>
        <w:tabs>
          <w:tab w:leader="none" w:pos="115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50" w:lineRule="exact"/>
        <w:rPr>
          <w:rFonts w:ascii="Arial" w:cs="Arial" w:eastAsia="Arial" w:hAnsi="Arial"/>
          <w:sz w:val="18"/>
          <w:szCs w:val="18"/>
          <w:b w:val="1"/>
          <w:bCs w:val="1"/>
          <w:color w:val="auto"/>
        </w:rPr>
      </w:pPr>
    </w:p>
    <w:p>
      <w:pPr>
        <w:jc w:val="both"/>
        <w:ind w:firstLine="656"/>
        <w:spacing w:after="0" w:line="253" w:lineRule="auto"/>
        <w:tabs>
          <w:tab w:leader="none" w:pos="1242"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the Plan and this Agreement when accepted by the Grantee will constitute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respect to the subject matter hereof. This Agreement supersedes any prior agreements, representations or promises of the parties relating to the subject matter hereof.</w:t>
      </w:r>
    </w:p>
    <w:p>
      <w:pPr>
        <w:spacing w:after="0" w:line="177" w:lineRule="exact"/>
        <w:rPr>
          <w:rFonts w:ascii="Arial" w:cs="Arial" w:eastAsia="Arial" w:hAnsi="Arial"/>
          <w:sz w:val="20"/>
          <w:szCs w:val="20"/>
          <w:b w:val="1"/>
          <w:bCs w:val="1"/>
          <w:color w:val="auto"/>
        </w:rPr>
      </w:pPr>
    </w:p>
    <w:p>
      <w:pPr>
        <w:ind w:firstLine="656"/>
        <w:spacing w:after="0" w:line="267" w:lineRule="auto"/>
        <w:tabs>
          <w:tab w:leader="none" w:pos="112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 and Restrictive Covenants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of receiving the Award, Grantee must agree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of the RCA which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63" w:lineRule="exact"/>
        <w:rPr>
          <w:rFonts w:ascii="Arial" w:cs="Arial" w:eastAsia="Arial" w:hAnsi="Arial"/>
          <w:sz w:val="20"/>
          <w:szCs w:val="20"/>
          <w:b w:val="1"/>
          <w:bCs w:val="1"/>
          <w:color w:val="auto"/>
        </w:rPr>
      </w:pPr>
    </w:p>
    <w:p>
      <w:pPr>
        <w:jc w:val="both"/>
        <w:ind w:firstLine="656"/>
        <w:spacing w:after="0" w:line="246" w:lineRule="auto"/>
        <w:tabs>
          <w:tab w:leader="none" w:pos="112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of the provisions of this Agreement shall be held invalid, illegal or unenforceable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4" w:lineRule="exact"/>
        <w:rPr>
          <w:rFonts w:ascii="Arial" w:cs="Arial" w:eastAsia="Arial" w:hAnsi="Arial"/>
          <w:sz w:val="20"/>
          <w:szCs w:val="20"/>
          <w:b w:val="1"/>
          <w:bCs w:val="1"/>
          <w:color w:val="auto"/>
        </w:rPr>
      </w:pPr>
    </w:p>
    <w:p>
      <w:pPr>
        <w:ind w:firstLine="656"/>
        <w:spacing w:after="0" w:line="267" w:lineRule="auto"/>
        <w:tabs>
          <w:tab w:leader="none" w:pos="1107"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any successor or successors of the Company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person or persons who shall acquire any rights hereunder in accordance with this Agreement or the Plan.</w:t>
      </w:r>
    </w:p>
    <w:p>
      <w:pPr>
        <w:spacing w:after="0" w:line="163" w:lineRule="exact"/>
        <w:rPr>
          <w:rFonts w:ascii="Arial" w:cs="Arial" w:eastAsia="Arial" w:hAnsi="Arial"/>
          <w:sz w:val="20"/>
          <w:szCs w:val="20"/>
          <w:b w:val="1"/>
          <w:bCs w:val="1"/>
          <w:color w:val="auto"/>
        </w:rPr>
      </w:pPr>
    </w:p>
    <w:p>
      <w:pPr>
        <w:jc w:val="both"/>
        <w:ind w:firstLine="656"/>
        <w:spacing w:after="0" w:line="285" w:lineRule="auto"/>
        <w:tabs>
          <w:tab w:leader="none" w:pos="1107"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in accordance with, and its interpretation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4</w:t>
      </w:r>
    </w:p>
    <w:p>
      <w:pPr>
        <w:sectPr>
          <w:pgSz w:w="11900" w:h="16838" w:orient="portrait"/>
          <w:cols w:equalWidth="0" w:num="1">
            <w:col w:w="11240"/>
          </w:cols>
          <w:pgMar w:left="320" w:top="1129"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6"/>
          <w:szCs w:val="16"/>
          <w:color w:val="auto"/>
        </w:rPr>
        <w:t>IN WITNESS WHEREOF, the Company has caused this Agreement to be executed by a duly authorized executive all as of the Grant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-14605</wp:posOffset>
            </wp:positionV>
            <wp:extent cx="125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Xavier F. Boza</w:t>
      </w:r>
    </w:p>
    <w:p>
      <w:pPr>
        <w:ind w:left="200"/>
        <w:spacing w:after="0"/>
        <w:rPr>
          <w:sz w:val="20"/>
          <w:szCs w:val="20"/>
          <w:color w:val="auto"/>
        </w:rPr>
      </w:pPr>
      <w:r>
        <w:rPr>
          <w:rFonts w:ascii="Arial" w:cs="Arial" w:eastAsia="Arial" w:hAnsi="Arial"/>
          <w:sz w:val="20"/>
          <w:szCs w:val="20"/>
          <w:color w:val="auto"/>
        </w:rPr>
        <w:t>Executive Vice President and Chief Human</w:t>
      </w:r>
    </w:p>
    <w:p>
      <w:pPr>
        <w:ind w:left="4380"/>
        <w:spacing w:after="0"/>
        <w:rPr>
          <w:sz w:val="20"/>
          <w:szCs w:val="20"/>
          <w:color w:val="auto"/>
        </w:rPr>
      </w:pPr>
      <w:r>
        <w:rPr>
          <w:rFonts w:ascii="Arial" w:cs="Arial" w:eastAsia="Arial" w:hAnsi="Arial"/>
          <w:sz w:val="20"/>
          <w:szCs w:val="20"/>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5</w:t>
      </w:r>
    </w:p>
    <w:p>
      <w:pPr>
        <w:sectPr>
          <w:pgSz w:w="11900" w:h="16838" w:orient="portrait"/>
          <w:cols w:equalWidth="0" w:num="1">
            <w:col w:w="11240"/>
          </w:cols>
          <w:pgMar w:left="320" w:top="1135"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NON-COMPETITION AND RESTRICTIVE COVENANTS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(LONG-TERM INCENTIVE PROGRAM)</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Non-Competition and Restrictive Covenants Agreement (“RCA”) is made by and between Campbell Soup Company (“Campbell”) and [Employee Full Legal Name] (“Employee”).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Employee has been selected to receive a Long-Term Incentive (“LTI”) award under the Campbell Soup Company 2015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respective agreements of the parties contained in this RCA, intending to be legally bound and subject to the terms and conditions stated in this RCA, it is agreed as follows:</w:t>
      </w:r>
    </w:p>
    <w:p>
      <w:pPr>
        <w:spacing w:after="0" w:line="171" w:lineRule="exact"/>
        <w:rPr>
          <w:sz w:val="20"/>
          <w:szCs w:val="20"/>
          <w:color w:val="auto"/>
        </w:rPr>
      </w:pPr>
    </w:p>
    <w:p>
      <w:pPr>
        <w:ind w:left="1000" w:hanging="344"/>
        <w:spacing w:after="0"/>
        <w:tabs>
          <w:tab w:leader="none" w:pos="100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76" w:lineRule="auto"/>
        <w:tabs>
          <w:tab w:leader="none" w:pos="179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164" w:lineRule="exact"/>
        <w:rPr>
          <w:rFonts w:ascii="Arial" w:cs="Arial" w:eastAsia="Arial" w:hAnsi="Arial"/>
          <w:sz w:val="18"/>
          <w:szCs w:val="18"/>
          <w:color w:val="auto"/>
        </w:rPr>
      </w:pPr>
    </w:p>
    <w:p>
      <w:pPr>
        <w:jc w:val="both"/>
        <w:ind w:firstLine="1304"/>
        <w:spacing w:after="0" w:line="246" w:lineRule="auto"/>
        <w:tabs>
          <w:tab w:leader="none" w:pos="1781" w:val="left"/>
        </w:tabs>
        <w:numPr>
          <w:ilvl w:val="1"/>
          <w:numId w:val="91"/>
        </w:numPr>
        <w:rPr>
          <w:rFonts w:ascii="Arial" w:cs="Arial" w:eastAsia="Arial" w:hAnsi="Arial"/>
          <w:sz w:val="20"/>
          <w:szCs w:val="20"/>
          <w:color w:val="auto"/>
        </w:rPr>
      </w:pPr>
      <w:r>
        <w:rPr>
          <w:rFonts w:ascii="Arial" w:cs="Arial" w:eastAsia="Arial" w:hAnsi="Arial"/>
          <w:sz w:val="20"/>
          <w:szCs w:val="20"/>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191" w:lineRule="exact"/>
        <w:rPr>
          <w:rFonts w:ascii="Arial" w:cs="Arial" w:eastAsia="Arial" w:hAnsi="Arial"/>
          <w:sz w:val="20"/>
          <w:szCs w:val="20"/>
          <w:color w:val="auto"/>
        </w:rPr>
      </w:pPr>
    </w:p>
    <w:p>
      <w:pPr>
        <w:jc w:val="both"/>
        <w:ind w:firstLine="1304"/>
        <w:spacing w:after="0" w:line="282" w:lineRule="auto"/>
        <w:tabs>
          <w:tab w:leader="none" w:pos="1795"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161" w:lineRule="exact"/>
        <w:rPr>
          <w:rFonts w:ascii="Arial" w:cs="Arial" w:eastAsia="Arial" w:hAnsi="Arial"/>
          <w:sz w:val="18"/>
          <w:szCs w:val="18"/>
          <w:color w:val="auto"/>
        </w:rPr>
      </w:pPr>
    </w:p>
    <w:p>
      <w:pPr>
        <w:jc w:val="both"/>
        <w:ind w:firstLine="1304"/>
        <w:spacing w:after="0" w:line="260" w:lineRule="auto"/>
        <w:tabs>
          <w:tab w:leader="none" w:pos="1912"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Nothing in this RCA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 regulation. Employees does not need the prior authorization of Campbell to make any such reports or disclosures and employee is am not required to notify Campbell that Employee has made such reports or disclosures.</w:t>
      </w:r>
    </w:p>
    <w:p>
      <w:pPr>
        <w:spacing w:after="0" w:line="174" w:lineRule="exact"/>
        <w:rPr>
          <w:rFonts w:ascii="Arial" w:cs="Arial" w:eastAsia="Arial" w:hAnsi="Arial"/>
          <w:sz w:val="19"/>
          <w:szCs w:val="19"/>
          <w:color w:val="auto"/>
        </w:rPr>
      </w:pPr>
    </w:p>
    <w:p>
      <w:pPr>
        <w:jc w:val="both"/>
        <w:ind w:firstLine="656"/>
        <w:spacing w:after="0" w:line="248" w:lineRule="auto"/>
        <w:tabs>
          <w:tab w:leader="none" w:pos="1008"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Business Diversion</w:t>
      </w:r>
      <w:r>
        <w:rPr>
          <w:rFonts w:ascii="Arial" w:cs="Arial" w:eastAsia="Arial" w:hAnsi="Arial"/>
          <w:sz w:val="20"/>
          <w:szCs w:val="20"/>
          <w:color w:val="auto"/>
        </w:rPr>
        <w:t>. During Employee’s employment, and for a period of 12 months thereafter following the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employment (for any reason), Employee will not, without the written consent of Campbell’s General Counsel, directly or indirectly, solicit, divert or take away, or attempt to solicit, divert or take away, any customers, business or suppliers of Campbell Companies whom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6</w:t>
      </w:r>
    </w:p>
    <w:p>
      <w:pPr>
        <w:sectPr>
          <w:pgSz w:w="11900" w:h="16838" w:orient="portrait"/>
          <w:cols w:equalWidth="0" w:num="1">
            <w:col w:w="11240"/>
          </w:cols>
          <w:pgMar w:left="320" w:top="1129" w:right="339" w:bottom="1440" w:gutter="0" w:footer="0" w:header="0"/>
        </w:sectPr>
      </w:pPr>
    </w:p>
    <w:bookmarkStart w:id="105" w:name="page106"/>
    <w:bookmarkEnd w:id="105"/>
    <w:p>
      <w:pPr>
        <w:spacing w:after="0" w:line="260" w:lineRule="auto"/>
        <w:rPr>
          <w:sz w:val="20"/>
          <w:szCs w:val="20"/>
          <w:color w:val="auto"/>
        </w:rPr>
      </w:pPr>
      <w:r>
        <w:rPr>
          <w:rFonts w:ascii="Arial" w:cs="Arial" w:eastAsia="Arial" w:hAnsi="Arial"/>
          <w:sz w:val="20"/>
          <w:szCs w:val="20"/>
          <w:color w:val="auto"/>
        </w:rPr>
        <w:t>serviced, called upon, or solicited during Employee’s employment, or with whom Employee became acquainted as a result of Employee’s employment.</w:t>
      </w:r>
    </w:p>
    <w:p>
      <w:pPr>
        <w:spacing w:after="0" w:line="171" w:lineRule="exact"/>
        <w:rPr>
          <w:sz w:val="20"/>
          <w:szCs w:val="20"/>
          <w:color w:val="auto"/>
        </w:rPr>
      </w:pPr>
    </w:p>
    <w:p>
      <w:pPr>
        <w:jc w:val="both"/>
        <w:ind w:firstLine="656"/>
        <w:spacing w:after="0" w:line="245" w:lineRule="auto"/>
        <w:tabs>
          <w:tab w:leader="none" w:pos="1008" w:val="left"/>
        </w:tabs>
        <w:numPr>
          <w:ilvl w:val="1"/>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Employee Solicitation</w:t>
      </w:r>
      <w:r>
        <w:rPr>
          <w:rFonts w:ascii="Arial" w:cs="Arial" w:eastAsia="Arial" w:hAnsi="Arial"/>
          <w:sz w:val="20"/>
          <w:szCs w:val="20"/>
          <w:color w:val="auto"/>
        </w:rPr>
        <w:t>. During Employee’s employment, and for a period of 12 months thereafter following the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84" w:lineRule="exact"/>
        <w:rPr>
          <w:rFonts w:ascii="Arial" w:cs="Arial" w:eastAsia="Arial" w:hAnsi="Arial"/>
          <w:sz w:val="20"/>
          <w:szCs w:val="20"/>
          <w:b w:val="1"/>
          <w:bCs w:val="1"/>
          <w:color w:val="auto"/>
        </w:rPr>
      </w:pPr>
    </w:p>
    <w:p>
      <w:pPr>
        <w:ind w:left="1000" w:hanging="344"/>
        <w:spacing w:after="0"/>
        <w:tabs>
          <w:tab w:leader="none" w:pos="1000" w:val="left"/>
        </w:tabs>
        <w:numPr>
          <w:ilvl w:val="1"/>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color w:val="auto"/>
        </w:rPr>
        <w:t>.</w:t>
      </w:r>
      <w:r>
        <w:rPr>
          <w:rFonts w:ascii="Arial" w:cs="Arial" w:eastAsia="Arial" w:hAnsi="Arial"/>
          <w:sz w:val="25"/>
          <w:szCs w:val="25"/>
          <w:color w:val="auto"/>
          <w:vertAlign w:val="superscript"/>
        </w:rPr>
        <w:t>1</w:t>
      </w:r>
    </w:p>
    <w:p>
      <w:pPr>
        <w:spacing w:after="0" w:line="164" w:lineRule="exact"/>
        <w:rPr>
          <w:rFonts w:ascii="Arial" w:cs="Arial" w:eastAsia="Arial" w:hAnsi="Arial"/>
          <w:sz w:val="20"/>
          <w:szCs w:val="20"/>
          <w:b w:val="1"/>
          <w:bCs w:val="1"/>
          <w:color w:val="auto"/>
        </w:rPr>
      </w:pPr>
    </w:p>
    <w:p>
      <w:pPr>
        <w:jc w:val="both"/>
        <w:ind w:firstLine="1304"/>
        <w:spacing w:after="0" w:line="243" w:lineRule="auto"/>
        <w:tabs>
          <w:tab w:leader="none" w:pos="1937" w:val="left"/>
        </w:tabs>
        <w:numPr>
          <w:ilvl w:val="2"/>
          <w:numId w:val="92"/>
        </w:numPr>
        <w:rPr>
          <w:rFonts w:ascii="Arial" w:cs="Arial" w:eastAsia="Arial" w:hAnsi="Arial"/>
          <w:sz w:val="20"/>
          <w:szCs w:val="20"/>
          <w:color w:val="auto"/>
        </w:rPr>
      </w:pPr>
      <w:r>
        <w:rPr>
          <w:rFonts w:ascii="Arial" w:cs="Arial" w:eastAsia="Arial" w:hAnsi="Arial"/>
          <w:sz w:val="20"/>
          <w:szCs w:val="20"/>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195" w:lineRule="exact"/>
        <w:rPr>
          <w:rFonts w:ascii="Arial" w:cs="Arial" w:eastAsia="Arial" w:hAnsi="Arial"/>
          <w:sz w:val="20"/>
          <w:szCs w:val="20"/>
          <w:color w:val="auto"/>
        </w:rPr>
      </w:pPr>
    </w:p>
    <w:p>
      <w:pPr>
        <w:jc w:val="both"/>
        <w:ind w:firstLine="1304"/>
        <w:spacing w:after="0" w:line="246" w:lineRule="auto"/>
        <w:tabs>
          <w:tab w:leader="none" w:pos="1878" w:val="left"/>
        </w:tabs>
        <w:numPr>
          <w:ilvl w:val="2"/>
          <w:numId w:val="92"/>
        </w:numPr>
        <w:rPr>
          <w:rFonts w:ascii="Arial" w:cs="Arial" w:eastAsia="Arial" w:hAnsi="Arial"/>
          <w:sz w:val="20"/>
          <w:szCs w:val="20"/>
          <w:color w:val="auto"/>
        </w:rPr>
      </w:pPr>
      <w:r>
        <w:rPr>
          <w:rFonts w:ascii="Arial" w:cs="Arial" w:eastAsia="Arial" w:hAnsi="Arial"/>
          <w:sz w:val="20"/>
          <w:szCs w:val="20"/>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886" w:val="left"/>
        </w:tabs>
        <w:numPr>
          <w:ilvl w:val="2"/>
          <w:numId w:val="92"/>
        </w:numPr>
        <w:rPr>
          <w:rFonts w:ascii="Arial" w:cs="Arial" w:eastAsia="Arial" w:hAnsi="Arial"/>
          <w:sz w:val="20"/>
          <w:szCs w:val="20"/>
          <w:color w:val="auto"/>
        </w:rPr>
      </w:pPr>
      <w:r>
        <w:rPr>
          <w:rFonts w:ascii="Arial" w:cs="Arial" w:eastAsia="Arial" w:hAnsi="Arial"/>
          <w:sz w:val="20"/>
          <w:szCs w:val="20"/>
          <w:color w:val="auto"/>
        </w:rPr>
        <w:t>Except as prohibited in paragraph 4(A), this RCA will not preclude Employee from ownership of less than 1% of the outstanding shares of any class of shares of any corporations listed on the New York Stock Exchange or the American Stock Exchange or quoted on NASDAQ.</w:t>
      </w:r>
    </w:p>
    <w:p>
      <w:pPr>
        <w:spacing w:after="0" w:line="185" w:lineRule="exact"/>
        <w:rPr>
          <w:rFonts w:ascii="Arial" w:cs="Arial" w:eastAsia="Arial" w:hAnsi="Arial"/>
          <w:sz w:val="20"/>
          <w:szCs w:val="20"/>
          <w:color w:val="auto"/>
        </w:rPr>
      </w:pPr>
    </w:p>
    <w:p>
      <w:pPr>
        <w:jc w:val="both"/>
        <w:ind w:right="20" w:firstLine="1304"/>
        <w:spacing w:after="0" w:line="250" w:lineRule="auto"/>
        <w:tabs>
          <w:tab w:leader="none" w:pos="1993" w:val="left"/>
        </w:tabs>
        <w:numPr>
          <w:ilvl w:val="2"/>
          <w:numId w:val="92"/>
        </w:numPr>
        <w:rPr>
          <w:rFonts w:ascii="Arial" w:cs="Arial" w:eastAsia="Arial" w:hAnsi="Arial"/>
          <w:sz w:val="20"/>
          <w:szCs w:val="20"/>
          <w:color w:val="auto"/>
        </w:rPr>
      </w:pPr>
      <w:r>
        <w:rPr>
          <w:rFonts w:ascii="Arial" w:cs="Arial" w:eastAsia="Arial" w:hAnsi="Arial"/>
          <w:sz w:val="20"/>
          <w:szCs w:val="20"/>
          <w:color w:val="auto"/>
        </w:rPr>
        <w:t>Employee acknowledges that any employment or relationship in violation of this RCA would necessarily require Employee to use or rely on Information to which Employee became privy during the course of Employee’s employment with Campbell Companies.</w:t>
      </w:r>
    </w:p>
    <w:p>
      <w:pPr>
        <w:spacing w:after="0" w:line="185" w:lineRule="exact"/>
        <w:rPr>
          <w:rFonts w:ascii="Arial" w:cs="Arial" w:eastAsia="Arial" w:hAnsi="Arial"/>
          <w:sz w:val="20"/>
          <w:szCs w:val="20"/>
          <w:color w:val="auto"/>
        </w:rPr>
      </w:pPr>
    </w:p>
    <w:p>
      <w:pPr>
        <w:jc w:val="both"/>
        <w:ind w:firstLine="1304"/>
        <w:spacing w:after="0" w:line="255" w:lineRule="auto"/>
        <w:tabs>
          <w:tab w:leader="none" w:pos="1908" w:val="left"/>
        </w:tabs>
        <w:numPr>
          <w:ilvl w:val="2"/>
          <w:numId w:val="92"/>
        </w:numPr>
        <w:rPr>
          <w:rFonts w:ascii="Arial" w:cs="Arial" w:eastAsia="Arial" w:hAnsi="Arial"/>
          <w:sz w:val="19"/>
          <w:szCs w:val="19"/>
          <w:color w:val="auto"/>
        </w:rPr>
      </w:pPr>
      <w:r>
        <w:rPr>
          <w:rFonts w:ascii="Arial" w:cs="Arial" w:eastAsia="Arial" w:hAnsi="Arial"/>
          <w:sz w:val="19"/>
          <w:szCs w:val="19"/>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 of commissions, bonuses, benefits, allowances, and any other form of compensation) which Employee had been receiving at the termination of Employee’s employment (the “Non-Compete Payments”). The Non-Compete Payments shall continue for as long as Campbell Companies elects to continue to enforce paragraph 4 of this RCA or until such time as Employee finds employment consistent with this RCA.</w:t>
      </w:r>
    </w:p>
    <w:p>
      <w:pPr>
        <w:spacing w:after="0" w:line="189" w:lineRule="exact"/>
        <w:rPr>
          <w:rFonts w:ascii="Arial" w:cs="Arial" w:eastAsia="Arial" w:hAnsi="Arial"/>
          <w:sz w:val="19"/>
          <w:szCs w:val="19"/>
          <w:color w:val="auto"/>
        </w:rPr>
      </w:pPr>
    </w:p>
    <w:p>
      <w:pPr>
        <w:ind w:firstLine="1304"/>
        <w:spacing w:after="0" w:line="260" w:lineRule="auto"/>
        <w:tabs>
          <w:tab w:leader="none" w:pos="1863" w:val="left"/>
        </w:tabs>
        <w:numPr>
          <w:ilvl w:val="2"/>
          <w:numId w:val="92"/>
        </w:numPr>
        <w:rPr>
          <w:rFonts w:ascii="Arial" w:cs="Arial" w:eastAsia="Arial" w:hAnsi="Arial"/>
          <w:sz w:val="20"/>
          <w:szCs w:val="20"/>
          <w:color w:val="auto"/>
        </w:rPr>
      </w:pPr>
      <w:r>
        <w:rPr>
          <w:rFonts w:ascii="Arial" w:cs="Arial" w:eastAsia="Arial" w:hAnsi="Arial"/>
          <w:sz w:val="20"/>
          <w:szCs w:val="20"/>
          <w:color w:val="auto"/>
        </w:rPr>
        <w:t>As a condition of receiving the Non-Compete Payments, Employee will conscientiously seek employment and will inform Campbell Companies on a monthly basis, in a detailed written account, of all</w:t>
      </w:r>
    </w:p>
    <w:p>
      <w:pPr>
        <w:spacing w:after="0" w:line="29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6"/>
          <w:szCs w:val="16"/>
          <w:color w:val="auto"/>
        </w:rPr>
        <w:t>*   In accordance with New Jersey law, this paragraph 4 shall not apply to employees of the Company who are employed in the capacity of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714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7</w:t>
      </w:r>
    </w:p>
    <w:p>
      <w:pPr>
        <w:sectPr>
          <w:pgSz w:w="11900" w:h="16838" w:orient="portrait"/>
          <w:cols w:equalWidth="0" w:num="1">
            <w:col w:w="11240"/>
          </w:cols>
          <w:pgMar w:left="320" w:top="1135" w:right="339" w:bottom="1440" w:gutter="0" w:footer="0" w:header="0"/>
        </w:sectPr>
      </w:pPr>
    </w:p>
    <w:bookmarkStart w:id="106" w:name="page107"/>
    <w:bookmarkEnd w:id="106"/>
    <w:p>
      <w:pPr>
        <w:jc w:val="both"/>
        <w:spacing w:after="0" w:line="246" w:lineRule="auto"/>
        <w:rPr>
          <w:sz w:val="20"/>
          <w:szCs w:val="20"/>
          <w:color w:val="auto"/>
        </w:rPr>
      </w:pPr>
      <w:r>
        <w:rPr>
          <w:rFonts w:ascii="Arial" w:cs="Arial" w:eastAsia="Arial" w:hAnsi="Arial"/>
          <w:sz w:val="20"/>
          <w:szCs w:val="20"/>
          <w:color w:val="auto"/>
        </w:rPr>
        <w:t>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191" w:lineRule="exact"/>
        <w:rPr>
          <w:sz w:val="20"/>
          <w:szCs w:val="20"/>
          <w:color w:val="auto"/>
        </w:rPr>
      </w:pPr>
    </w:p>
    <w:p>
      <w:pPr>
        <w:jc w:val="both"/>
        <w:ind w:firstLine="1304"/>
        <w:spacing w:after="0" w:line="244" w:lineRule="auto"/>
        <w:tabs>
          <w:tab w:leader="none" w:pos="1931" w:val="left"/>
        </w:tabs>
        <w:numPr>
          <w:ilvl w:val="1"/>
          <w:numId w:val="93"/>
        </w:numPr>
        <w:rPr>
          <w:rFonts w:ascii="Arial" w:cs="Arial" w:eastAsia="Arial" w:hAnsi="Arial"/>
          <w:sz w:val="20"/>
          <w:szCs w:val="20"/>
          <w:color w:val="auto"/>
        </w:rPr>
      </w:pPr>
      <w:r>
        <w:rPr>
          <w:rFonts w:ascii="Arial" w:cs="Arial" w:eastAsia="Arial" w:hAnsi="Arial"/>
          <w:sz w:val="20"/>
          <w:szCs w:val="20"/>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194" w:lineRule="exact"/>
        <w:rPr>
          <w:rFonts w:ascii="Arial" w:cs="Arial" w:eastAsia="Arial" w:hAnsi="Arial"/>
          <w:sz w:val="20"/>
          <w:szCs w:val="20"/>
          <w:color w:val="auto"/>
        </w:rPr>
      </w:pPr>
    </w:p>
    <w:p>
      <w:pPr>
        <w:jc w:val="both"/>
        <w:ind w:firstLine="1304"/>
        <w:spacing w:after="0" w:line="250" w:lineRule="auto"/>
        <w:tabs>
          <w:tab w:leader="none" w:pos="1920" w:val="left"/>
        </w:tabs>
        <w:numPr>
          <w:ilvl w:val="1"/>
          <w:numId w:val="93"/>
        </w:numPr>
        <w:rPr>
          <w:rFonts w:ascii="Arial" w:cs="Arial" w:eastAsia="Arial" w:hAnsi="Arial"/>
          <w:sz w:val="20"/>
          <w:szCs w:val="20"/>
          <w:color w:val="auto"/>
        </w:rPr>
      </w:pPr>
      <w:r>
        <w:rPr>
          <w:rFonts w:ascii="Arial" w:cs="Arial" w:eastAsia="Arial" w:hAnsi="Arial"/>
          <w:sz w:val="20"/>
          <w:szCs w:val="20"/>
          <w:color w:val="auto"/>
        </w:rPr>
        <w:t>In the event that Employee’s employment is voluntarily terminated or terminated “for cause” as defined in the Plan, Employee shall be required to abide by all of the terms of this RCA including, but not limited to paragraphs 1- 4, without receiving Non-Compete Payments.</w:t>
      </w:r>
    </w:p>
    <w:p>
      <w:pPr>
        <w:spacing w:after="0" w:line="179" w:lineRule="exact"/>
        <w:rPr>
          <w:rFonts w:ascii="Arial" w:cs="Arial" w:eastAsia="Arial" w:hAnsi="Arial"/>
          <w:sz w:val="20"/>
          <w:szCs w:val="20"/>
          <w:color w:val="auto"/>
        </w:rPr>
      </w:pPr>
    </w:p>
    <w:p>
      <w:pPr>
        <w:jc w:val="both"/>
        <w:ind w:firstLine="656"/>
        <w:spacing w:after="0" w:line="260" w:lineRule="auto"/>
        <w:tabs>
          <w:tab w:leader="none" w:pos="994"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Integration of Severance Pay</w:t>
      </w:r>
      <w:r>
        <w:rPr>
          <w:rFonts w:ascii="Arial" w:cs="Arial" w:eastAsia="Arial" w:hAnsi="Arial"/>
          <w:sz w:val="19"/>
          <w:szCs w:val="19"/>
          <w:color w:val="auto"/>
        </w:rPr>
        <w:t>. If Employee receives severance pay from Campbell Companies at the time of the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spacing w:after="0" w:line="172" w:lineRule="exact"/>
        <w:rPr>
          <w:rFonts w:ascii="Arial" w:cs="Arial" w:eastAsia="Arial" w:hAnsi="Arial"/>
          <w:sz w:val="19"/>
          <w:szCs w:val="19"/>
          <w:b w:val="1"/>
          <w:bCs w:val="1"/>
          <w:color w:val="auto"/>
        </w:rPr>
      </w:pPr>
    </w:p>
    <w:p>
      <w:pPr>
        <w:ind w:left="1060" w:hanging="404"/>
        <w:spacing w:after="0"/>
        <w:tabs>
          <w:tab w:leader="none" w:pos="10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Immunity Under the Defend Trade Secrets Act of 2016 (“DTSA”)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RCA:</w:t>
      </w:r>
    </w:p>
    <w:p>
      <w:pPr>
        <w:spacing w:after="0" w:line="199" w:lineRule="exact"/>
        <w:rPr>
          <w:rFonts w:ascii="Arial" w:cs="Arial" w:eastAsia="Arial" w:hAnsi="Arial"/>
          <w:sz w:val="18"/>
          <w:szCs w:val="18"/>
          <w:b w:val="1"/>
          <w:bCs w:val="1"/>
          <w:color w:val="auto"/>
        </w:rPr>
      </w:pPr>
    </w:p>
    <w:p>
      <w:pPr>
        <w:jc w:val="both"/>
        <w:ind w:firstLine="1304"/>
        <w:spacing w:after="0" w:line="246" w:lineRule="auto"/>
        <w:tabs>
          <w:tab w:leader="none" w:pos="1781" w:val="left"/>
        </w:tabs>
        <w:numPr>
          <w:ilvl w:val="1"/>
          <w:numId w:val="94"/>
        </w:numPr>
        <w:rPr>
          <w:rFonts w:ascii="Arial" w:cs="Arial" w:eastAsia="Arial" w:hAnsi="Arial"/>
          <w:sz w:val="20"/>
          <w:szCs w:val="20"/>
          <w:color w:val="auto"/>
        </w:rPr>
      </w:pPr>
      <w:r>
        <w:rPr>
          <w:rFonts w:ascii="Arial" w:cs="Arial" w:eastAsia="Arial" w:hAnsi="Arial"/>
          <w:sz w:val="20"/>
          <w:szCs w:val="20"/>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758" w:val="left"/>
        </w:tabs>
        <w:numPr>
          <w:ilvl w:val="1"/>
          <w:numId w:val="94"/>
        </w:numPr>
        <w:rPr>
          <w:rFonts w:ascii="Arial" w:cs="Arial" w:eastAsia="Arial" w:hAnsi="Arial"/>
          <w:sz w:val="20"/>
          <w:szCs w:val="20"/>
          <w:color w:val="auto"/>
        </w:rPr>
      </w:pPr>
      <w:r>
        <w:rPr>
          <w:rFonts w:ascii="Arial" w:cs="Arial" w:eastAsia="Arial" w:hAnsi="Arial"/>
          <w:sz w:val="20"/>
          <w:szCs w:val="20"/>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185" w:lineRule="exact"/>
        <w:rPr>
          <w:rFonts w:ascii="Arial" w:cs="Arial" w:eastAsia="Arial" w:hAnsi="Arial"/>
          <w:sz w:val="20"/>
          <w:szCs w:val="20"/>
          <w:color w:val="auto"/>
        </w:rPr>
      </w:pPr>
    </w:p>
    <w:p>
      <w:pPr>
        <w:ind w:left="1000" w:hanging="344"/>
        <w:spacing w:after="0"/>
        <w:tabs>
          <w:tab w:leader="none" w:pos="100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Enforcement of RCA</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57" w:lineRule="auto"/>
        <w:tabs>
          <w:tab w:leader="none" w:pos="19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 law. Employee consents to the issuance of any restraining or preliminary restraining order or injunction which arises from, directly or indirectly, any use, disclosure, or conduct by Employee in violation of this RCA without the need for the posting of a bond. Employee agrees that, if Campbell Companies prevail in any suit or proceeding under 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8</w:t>
      </w:r>
    </w:p>
    <w:p>
      <w:pPr>
        <w:sectPr>
          <w:pgSz w:w="11900" w:h="16838" w:orient="portrait"/>
          <w:cols w:equalWidth="0" w:num="1">
            <w:col w:w="11240"/>
          </w:cols>
          <w:pgMar w:left="320" w:top="1135" w:right="339" w:bottom="1440" w:gutter="0" w:footer="0" w:header="0"/>
        </w:sectPr>
      </w:pPr>
    </w:p>
    <w:bookmarkStart w:id="107" w:name="page108"/>
    <w:bookmarkEnd w:id="107"/>
    <w:p>
      <w:pPr>
        <w:jc w:val="both"/>
        <w:ind w:firstLine="1304"/>
        <w:spacing w:after="0" w:line="282" w:lineRule="auto"/>
        <w:tabs>
          <w:tab w:leader="none" w:pos="179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This RCA and all terms of Employee’s employment shall be governed by, construed and enforced in accordance with the laws of the State of New Jersey, without giving effect to conflict of law principles. Each party irrevocably agrees that any legal proceeding arising out of, or relating to the subject matter of, this RCA shall be brought in the Superior Court of New Jersey in Camden County or the United States District Court of New Jersey, Camden Vicinage. Each party irrevocably consents to such jurisdiction and venue.</w:t>
      </w:r>
    </w:p>
    <w:p>
      <w:pPr>
        <w:spacing w:after="0" w:line="155" w:lineRule="exact"/>
        <w:rPr>
          <w:rFonts w:ascii="Arial" w:cs="Arial" w:eastAsia="Arial" w:hAnsi="Arial"/>
          <w:sz w:val="18"/>
          <w:szCs w:val="18"/>
          <w:color w:val="auto"/>
        </w:rPr>
      </w:pPr>
    </w:p>
    <w:p>
      <w:pPr>
        <w:ind w:left="1000" w:hanging="344"/>
        <w:spacing w:after="0"/>
        <w:tabs>
          <w:tab w:leader="none" w:pos="100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This RCA shall survive the termination of Employee’s employment for any reason.</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075"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Contract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RCA is not a contract of employment, nor does it impose on Campbell Companies any</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to retain Employee in its employ. To the contrary, Employee is an employee-at-will.</w:t>
      </w:r>
    </w:p>
    <w:p>
      <w:pPr>
        <w:spacing w:after="0" w:line="163" w:lineRule="exact"/>
        <w:rPr>
          <w:rFonts w:ascii="Arial" w:cs="Arial" w:eastAsia="Arial" w:hAnsi="Arial"/>
          <w:sz w:val="20"/>
          <w:szCs w:val="20"/>
          <w:b w:val="1"/>
          <w:bCs w:val="1"/>
          <w:color w:val="auto"/>
        </w:rPr>
      </w:pPr>
    </w:p>
    <w:p>
      <w:pPr>
        <w:jc w:val="both"/>
        <w:ind w:firstLine="656"/>
        <w:spacing w:after="0" w:line="253" w:lineRule="auto"/>
        <w:tabs>
          <w:tab w:leader="none" w:pos="1107"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Reform of RCA</w:t>
      </w:r>
      <w:r>
        <w:rPr>
          <w:rFonts w:ascii="Arial" w:cs="Arial" w:eastAsia="Arial" w:hAnsi="Arial"/>
          <w:sz w:val="20"/>
          <w:szCs w:val="20"/>
          <w:b w:val="1"/>
          <w:bCs w:val="1"/>
          <w:color w:val="auto"/>
        </w:rPr>
        <w:t xml:space="preserve">. </w:t>
      </w:r>
      <w:r>
        <w:rPr>
          <w:rFonts w:ascii="Arial" w:cs="Arial" w:eastAsia="Arial" w:hAnsi="Arial"/>
          <w:sz w:val="20"/>
          <w:szCs w:val="20"/>
          <w:color w:val="auto"/>
        </w:rPr>
        <w:t>No provision of this RCA may be amended or waived unless agreed to in writing and signed by the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Counsel of Campbell. The failure to exercise, or delay in exercising, any right, power, or remedy under this RCA shall not waive any right, power, or remedy which Campbell has under this RCA.</w:t>
      </w:r>
    </w:p>
    <w:p>
      <w:pPr>
        <w:spacing w:after="0" w:line="177" w:lineRule="exact"/>
        <w:rPr>
          <w:rFonts w:ascii="Arial" w:cs="Arial" w:eastAsia="Arial" w:hAnsi="Arial"/>
          <w:sz w:val="20"/>
          <w:szCs w:val="20"/>
          <w:b w:val="1"/>
          <w:bCs w:val="1"/>
          <w:color w:val="auto"/>
        </w:rPr>
      </w:pPr>
    </w:p>
    <w:p>
      <w:pPr>
        <w:jc w:val="both"/>
        <w:ind w:firstLine="656"/>
        <w:spacing w:after="0" w:line="248" w:lineRule="auto"/>
        <w:tabs>
          <w:tab w:leader="none" w:pos="119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 or Reform by Court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any provision of this RCA is deemed by a court to be broader than</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spacing w:after="0" w:line="183" w:lineRule="exact"/>
        <w:rPr>
          <w:rFonts w:ascii="Arial" w:cs="Arial" w:eastAsia="Arial" w:hAnsi="Arial"/>
          <w:sz w:val="20"/>
          <w:szCs w:val="20"/>
          <w:b w:val="1"/>
          <w:bCs w:val="1"/>
          <w:color w:val="auto"/>
        </w:rPr>
      </w:pPr>
    </w:p>
    <w:p>
      <w:pPr>
        <w:jc w:val="both"/>
        <w:ind w:firstLine="656"/>
        <w:spacing w:after="0" w:line="253" w:lineRule="auto"/>
        <w:tabs>
          <w:tab w:leader="none" w:pos="1107"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RCA constitutes the entire understanding between the parties to this RCA with respect to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in connection with the receipt and acceptance of the LTI award. Unless specified, this RCA does not supersede any prior agreements, understandings and arrangements, oral or written, between the parties.</w:t>
      </w:r>
    </w:p>
    <w:p>
      <w:pPr>
        <w:spacing w:after="0" w:line="177"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color w:val="auto"/>
        </w:rPr>
        <w:t>EMPLOYEE ACKNOWLEDGES THAT HE/SHE HAS READ THE ABOVE RCA AND HAS BEEN GIVEN ADEQUATE TIME TO CONSULT WITH AN ATTORNEY OR OTHER ADVISOR OF HIS/HER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LTI Grant Agreement</w:t>
      </w:r>
      <w:r>
        <w:rPr>
          <w:sz w:val="20"/>
          <w:szCs w:val="20"/>
          <w:color w:val="auto"/>
        </w:rPr>
        <w:tab/>
      </w:r>
      <w:r>
        <w:rPr>
          <w:rFonts w:ascii="Arial" w:cs="Arial" w:eastAsia="Arial" w:hAnsi="Arial"/>
          <w:sz w:val="13"/>
          <w:szCs w:val="13"/>
          <w:color w:val="auto"/>
        </w:rPr>
        <w:t>9</w:t>
      </w:r>
    </w:p>
    <w:p>
      <w:pPr>
        <w:sectPr>
          <w:pgSz w:w="11900" w:h="16838" w:orient="portrait"/>
          <w:cols w:equalWidth="0" w:num="1">
            <w:col w:w="11240"/>
          </w:cols>
          <w:pgMar w:left="320" w:top="113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b w:val="1"/>
                <w:bCs w:val="1"/>
                <w:color w:val="auto"/>
              </w:rPr>
              <w:t>SUBSIDIARY LIST</w:t>
            </w: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4380" w:type="dxa"/>
            <w:vAlign w:val="bottom"/>
            <w:shd w:val="clear" w:color="auto" w:fill="E6E6E6"/>
          </w:tcPr>
          <w:p>
            <w:pPr>
              <w:ind w:left="1600"/>
              <w:spacing w:after="0"/>
              <w:rPr>
                <w:sz w:val="20"/>
                <w:szCs w:val="20"/>
                <w:color w:val="auto"/>
              </w:rPr>
            </w:pPr>
            <w:r>
              <w:rPr>
                <w:rFonts w:ascii="Arial" w:cs="Arial" w:eastAsia="Arial" w:hAnsi="Arial"/>
                <w:sz w:val="18"/>
                <w:szCs w:val="18"/>
                <w:b w:val="1"/>
                <w:bCs w:val="1"/>
                <w:color w:val="auto"/>
              </w:rPr>
              <w:t>Name of Subsidiary and Name</w:t>
            </w:r>
          </w:p>
        </w:tc>
        <w:tc>
          <w:tcPr>
            <w:tcW w:w="1220" w:type="dxa"/>
            <w:vAlign w:val="bottom"/>
            <w:tcBorders>
              <w:right w:val="single" w:sz="8" w:color="00000A"/>
            </w:tcBorders>
            <w:shd w:val="clear" w:color="auto" w:fill="E6E6E6"/>
          </w:tcPr>
          <w:p>
            <w:pPr>
              <w:spacing w:after="0"/>
              <w:rPr>
                <w:sz w:val="24"/>
                <w:szCs w:val="24"/>
                <w:color w:val="auto"/>
              </w:rPr>
            </w:pPr>
          </w:p>
        </w:tc>
        <w:tc>
          <w:tcPr>
            <w:tcW w:w="5580" w:type="dxa"/>
            <w:vAlign w:val="bottom"/>
            <w:vMerge w:val="restart"/>
            <w:shd w:val="clear" w:color="auto" w:fill="E6E6E6"/>
          </w:tcPr>
          <w:p>
            <w:pPr>
              <w:ind w:left="166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00000A"/>
            </w:tcBorders>
            <w:shd w:val="clear" w:color="auto" w:fill="E6E6E6"/>
          </w:tcPr>
          <w:p>
            <w:pPr>
              <w:ind w:left="1620"/>
              <w:spacing w:after="0"/>
              <w:rPr>
                <w:sz w:val="20"/>
                <w:szCs w:val="20"/>
                <w:color w:val="auto"/>
              </w:rPr>
            </w:pPr>
            <w:r>
              <w:rPr>
                <w:rFonts w:ascii="Arial" w:cs="Arial" w:eastAsia="Arial" w:hAnsi="Arial"/>
                <w:sz w:val="18"/>
                <w:szCs w:val="18"/>
                <w:b w:val="1"/>
                <w:bCs w:val="1"/>
                <w:color w:val="auto"/>
              </w:rPr>
              <w:t>Under Which It Does Business</w:t>
            </w:r>
          </w:p>
        </w:tc>
        <w:tc>
          <w:tcPr>
            <w:tcW w:w="1220" w:type="dxa"/>
            <w:vAlign w:val="bottom"/>
            <w:tcBorders>
              <w:bottom w:val="single" w:sz="8" w:color="00000A"/>
              <w:right w:val="single" w:sz="8" w:color="00000A"/>
            </w:tcBorders>
            <w:shd w:val="clear" w:color="auto" w:fill="E6E6E6"/>
          </w:tcPr>
          <w:p>
            <w:pPr>
              <w:spacing w:after="0"/>
              <w:rPr>
                <w:sz w:val="19"/>
                <w:szCs w:val="19"/>
                <w:color w:val="auto"/>
              </w:rPr>
            </w:pPr>
          </w:p>
        </w:tc>
        <w:tc>
          <w:tcPr>
            <w:tcW w:w="5580" w:type="dxa"/>
            <w:vAlign w:val="bottom"/>
            <w:tcBorders>
              <w:bottom w:val="single" w:sz="8" w:color="00000A"/>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1035 Line Company</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3330472 Nova Scotia Company</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CAH Corporation</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Argentina S.A.</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Company of Canada</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EU Investment Company</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Finance 2 Corp.</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Foodservice Company</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Hong Kong Limited</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International Holdings Inc.</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Investment Company</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Campbell Jin Bao Tang, Inc.</w:t>
            </w:r>
          </w:p>
        </w:tc>
        <w:tc>
          <w:tcPr>
            <w:tcW w:w="1220" w:type="dxa"/>
            <w:vAlign w:val="bottom"/>
            <w:tcBorders>
              <w:bottom w:val="single" w:sz="8" w:color="auto"/>
              <w:right w:val="single" w:sz="8" w:color="00000A"/>
            </w:tcBorders>
          </w:tcPr>
          <w:p>
            <w:pPr>
              <w:spacing w:after="0"/>
              <w:rPr>
                <w:sz w:val="19"/>
                <w:szCs w:val="19"/>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Luxembourg Holdings S.a.r.l.</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MFG 1 Company</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Sales Company</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Soup Asia Limited</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Soup Dominicana, S.A.</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Dominican Republic</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Soup Supply Company L.L.C.</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Swire (HK) Ltd</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Swire (Xiamen) Co Ltd</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Campbell U.S. Holdings, Inc.</w:t>
            </w:r>
          </w:p>
        </w:tc>
        <w:tc>
          <w:tcPr>
            <w:tcW w:w="1220" w:type="dxa"/>
            <w:vAlign w:val="bottom"/>
            <w:tcBorders>
              <w:bottom w:val="single" w:sz="8" w:color="auto"/>
              <w:right w:val="single" w:sz="8" w:color="00000A"/>
            </w:tcBorders>
            <w:shd w:val="clear" w:color="auto" w:fill="CCEEFF"/>
          </w:tcPr>
          <w:p>
            <w:pPr>
              <w:spacing w:after="0"/>
              <w:rPr>
                <w:sz w:val="19"/>
                <w:szCs w:val="19"/>
                <w:color w:val="auto"/>
              </w:rPr>
            </w:pPr>
          </w:p>
        </w:tc>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Campbell Urban Renewal Corporation</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Campbell’s de Mexico S.A. de C. V.</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CANEB L.L.C.</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CanFin Holdings Inc.</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CIRT Urban Renewal Corp.</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Comercializadora Campbell de Guatemala, Limitada</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Guatemala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CSC Brands LP</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Insights, Inc.</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CSC Standards, Inc.</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DFKA Ltd.</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Diamond of Europe GmbH</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EDS Investments, LLC</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Joseph Campbell Company</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Pacific Foods Investments, Inc.</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Pacific Foods of Oregon, LLC</w:t>
            </w:r>
          </w:p>
        </w:tc>
        <w:tc>
          <w:tcPr>
            <w:tcW w:w="1220" w:type="dxa"/>
            <w:vAlign w:val="bottom"/>
            <w:tcBorders>
              <w:bottom w:val="single" w:sz="8" w:color="00000A"/>
              <w:right w:val="single" w:sz="8" w:color="00000A"/>
            </w:tcBorders>
          </w:tcPr>
          <w:p>
            <w:pPr>
              <w:spacing w:after="0"/>
              <w:rPr>
                <w:sz w:val="19"/>
                <w:szCs w:val="19"/>
                <w:color w:val="auto"/>
              </w:rPr>
            </w:pPr>
          </w:p>
        </w:tc>
        <w:tc>
          <w:tcPr>
            <w:tcW w:w="5580" w:type="dxa"/>
            <w:vAlign w:val="bottom"/>
            <w:tcBorders>
              <w:bottom w:val="single" w:sz="8" w:color="00000A"/>
            </w:tcBorders>
          </w:tcPr>
          <w:p>
            <w:pPr>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Pepperidge Farm, Incorporated</w:t>
            </w:r>
          </w:p>
        </w:tc>
        <w:tc>
          <w:tcPr>
            <w:tcW w:w="1220" w:type="dxa"/>
            <w:vAlign w:val="bottom"/>
            <w:tcBorders>
              <w:bottom w:val="single" w:sz="8" w:color="00000A"/>
              <w:right w:val="single" w:sz="8" w:color="00000A"/>
            </w:tcBorders>
            <w:shd w:val="clear" w:color="auto" w:fill="CCEEFF"/>
          </w:tcPr>
          <w:p>
            <w:pPr>
              <w:spacing w:after="0"/>
              <w:rPr>
                <w:sz w:val="19"/>
                <w:szCs w:val="19"/>
                <w:color w:val="auto"/>
              </w:rPr>
            </w:pPr>
          </w:p>
        </w:tc>
        <w:tc>
          <w:tcPr>
            <w:tcW w:w="558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Snyder's-Lance, Inc.</w:t>
            </w:r>
          </w:p>
        </w:tc>
        <w:tc>
          <w:tcPr>
            <w:tcW w:w="1220" w:type="dxa"/>
            <w:vAlign w:val="bottom"/>
            <w:tcBorders>
              <w:right w:val="single" w:sz="8" w:color="00000A"/>
            </w:tcBorders>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333-249174) and Form S-8 (Nos. 333-216582, 333-208441, 333-173583, 333-173582, 333-160381, 333-157850, 333-134675, 333-22803, 333-00729 and 33-59797) of Campbell Soup Company of our report dated September 23, 2021 relating to the financial statements and financial statement schedule and the effectiveness of internal control over financial reporting, which appears in this Form 10-K.</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117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23, 2021</w:t>
      </w:r>
    </w:p>
    <w:p>
      <w:pPr>
        <w:sectPr>
          <w:pgSz w:w="11900" w:h="16838" w:orient="portrait"/>
          <w:cols w:equalWidth="0" w:num="1">
            <w:col w:w="11240"/>
          </w:cols>
          <w:pgMar w:left="320" w:top="120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24</w:t>
      </w:r>
    </w:p>
    <w:p>
      <w:pPr>
        <w:jc w:val="center"/>
        <w:spacing w:after="0" w:line="233" w:lineRule="auto"/>
        <w:rPr>
          <w:sz w:val="20"/>
          <w:szCs w:val="20"/>
          <w:color w:val="auto"/>
        </w:rPr>
      </w:pPr>
      <w:r>
        <w:rPr>
          <w:rFonts w:ascii="Arial" w:cs="Arial" w:eastAsia="Arial" w:hAnsi="Arial"/>
          <w:sz w:val="20"/>
          <w:szCs w:val="20"/>
          <w:b w:val="1"/>
          <w:bCs w:val="1"/>
          <w:color w:val="auto"/>
        </w:rPr>
        <w:t>POWER OF ATTORNEY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1st day of September,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Fabiola R. Arredondo</w:t>
      </w:r>
      <w:r>
        <w:rPr>
          <w:rFonts w:ascii="Arial" w:cs="Arial" w:eastAsia="Arial" w:hAnsi="Arial"/>
          <w:sz w:val="22"/>
          <w:szCs w:val="22"/>
          <w:color w:val="auto"/>
        </w:rPr>
        <w:t>_____</w:t>
      </w:r>
    </w:p>
    <w:p>
      <w:pPr>
        <w:spacing w:after="0" w:line="204" w:lineRule="auto"/>
        <w:rPr>
          <w:sz w:val="20"/>
          <w:szCs w:val="20"/>
          <w:color w:val="auto"/>
        </w:rPr>
      </w:pPr>
      <w:r>
        <w:rPr>
          <w:rFonts w:ascii="Arial" w:cs="Arial" w:eastAsia="Arial" w:hAnsi="Arial"/>
          <w:sz w:val="22"/>
          <w:szCs w:val="22"/>
          <w:color w:val="auto"/>
        </w:rPr>
        <w:t>Fabiola R. Arredondo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1st day of September,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Howard M Averill</w:t>
      </w:r>
    </w:p>
    <w:p>
      <w:pPr>
        <w:spacing w:after="0" w:line="204" w:lineRule="auto"/>
        <w:rPr>
          <w:sz w:val="20"/>
          <w:szCs w:val="20"/>
          <w:color w:val="auto"/>
        </w:rPr>
      </w:pPr>
      <w:r>
        <w:rPr>
          <w:rFonts w:ascii="Arial" w:cs="Arial" w:eastAsia="Arial" w:hAnsi="Arial"/>
          <w:sz w:val="22"/>
          <w:szCs w:val="22"/>
          <w:color w:val="auto"/>
        </w:rPr>
        <w:t>Howard M. Averill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11240"/>
          </w:cols>
          <w:pgMar w:left="320" w:top="1413"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2nd day of September, 2021.</w:t>
      </w:r>
    </w:p>
    <w:p>
      <w:pPr>
        <w:spacing w:after="0" w:line="204" w:lineRule="auto"/>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John P. Bilbrey</w:t>
      </w:r>
      <w:r>
        <w:rPr>
          <w:rFonts w:ascii="Arial" w:cs="Arial" w:eastAsia="Arial" w:hAnsi="Arial"/>
          <w:sz w:val="22"/>
          <w:szCs w:val="22"/>
          <w:color w:val="auto"/>
        </w:rPr>
        <w:t>_____</w:t>
      </w:r>
    </w:p>
    <w:p>
      <w:pPr>
        <w:spacing w:after="0" w:line="205" w:lineRule="auto"/>
        <w:rPr>
          <w:sz w:val="20"/>
          <w:szCs w:val="20"/>
          <w:color w:val="auto"/>
        </w:rPr>
      </w:pPr>
      <w:r>
        <w:rPr>
          <w:rFonts w:ascii="Arial" w:cs="Arial" w:eastAsia="Arial" w:hAnsi="Arial"/>
          <w:sz w:val="22"/>
          <w:szCs w:val="22"/>
          <w:color w:val="auto"/>
        </w:rPr>
        <w:t>John P. Bilbrey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2nd day of September, 2021.</w:t>
      </w:r>
    </w:p>
    <w:p>
      <w:pPr>
        <w:spacing w:after="0" w:line="204" w:lineRule="auto"/>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Bennett Dorrance</w:t>
      </w:r>
      <w:r>
        <w:rPr>
          <w:rFonts w:ascii="Arial" w:cs="Arial" w:eastAsia="Arial" w:hAnsi="Arial"/>
          <w:sz w:val="22"/>
          <w:szCs w:val="22"/>
          <w:color w:val="auto"/>
        </w:rPr>
        <w:t>_____</w:t>
      </w:r>
    </w:p>
    <w:p>
      <w:pPr>
        <w:spacing w:after="0" w:line="205" w:lineRule="auto"/>
        <w:rPr>
          <w:sz w:val="20"/>
          <w:szCs w:val="20"/>
          <w:color w:val="auto"/>
        </w:rPr>
      </w:pPr>
      <w:r>
        <w:rPr>
          <w:rFonts w:ascii="Arial" w:cs="Arial" w:eastAsia="Arial" w:hAnsi="Arial"/>
          <w:sz w:val="22"/>
          <w:szCs w:val="22"/>
          <w:color w:val="auto"/>
        </w:rPr>
        <w:t>Bennett Dorrance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1st day of September, 2021.</w:t>
      </w:r>
    </w:p>
    <w:p>
      <w:pPr>
        <w:spacing w:after="0" w:line="204" w:lineRule="auto"/>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Maria Teresa Hilado</w:t>
      </w:r>
      <w:r>
        <w:rPr>
          <w:rFonts w:ascii="Arial" w:cs="Arial" w:eastAsia="Arial" w:hAnsi="Arial"/>
          <w:sz w:val="22"/>
          <w:szCs w:val="22"/>
          <w:color w:val="auto"/>
        </w:rPr>
        <w:t>_____</w:t>
      </w:r>
    </w:p>
    <w:p>
      <w:pPr>
        <w:spacing w:after="0" w:line="205" w:lineRule="auto"/>
        <w:rPr>
          <w:sz w:val="20"/>
          <w:szCs w:val="20"/>
          <w:color w:val="auto"/>
        </w:rPr>
      </w:pPr>
      <w:r>
        <w:rPr>
          <w:rFonts w:ascii="Arial" w:cs="Arial" w:eastAsia="Arial" w:hAnsi="Arial"/>
          <w:sz w:val="22"/>
          <w:szCs w:val="22"/>
          <w:color w:val="auto"/>
        </w:rPr>
        <w:t>Maria Teresa Hilado</w:t>
      </w:r>
    </w:p>
    <w:p>
      <w:pPr>
        <w:spacing w:after="0" w:line="215"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2nd day of September, 2021.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Grant H. Hill</w:t>
      </w:r>
      <w:r>
        <w:rPr>
          <w:rFonts w:ascii="Arial" w:cs="Arial" w:eastAsia="Arial" w:hAnsi="Arial"/>
          <w:sz w:val="22"/>
          <w:szCs w:val="22"/>
          <w:color w:val="auto"/>
        </w:rPr>
        <w:t>_____</w:t>
      </w:r>
    </w:p>
    <w:p>
      <w:pPr>
        <w:spacing w:after="0" w:line="208" w:lineRule="auto"/>
        <w:rPr>
          <w:sz w:val="20"/>
          <w:szCs w:val="20"/>
          <w:color w:val="auto"/>
        </w:rPr>
      </w:pPr>
      <w:r>
        <w:rPr>
          <w:rFonts w:ascii="Arial" w:cs="Arial" w:eastAsia="Arial" w:hAnsi="Arial"/>
          <w:sz w:val="20"/>
          <w:szCs w:val="20"/>
          <w:color w:val="auto"/>
        </w:rPr>
        <w:t>Grant H. Hill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2nd day of September, 2021.</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Sarah Hofstetter</w:t>
      </w:r>
      <w:r>
        <w:rPr>
          <w:rFonts w:ascii="Arial" w:cs="Arial" w:eastAsia="Arial" w:hAnsi="Arial"/>
          <w:sz w:val="22"/>
          <w:szCs w:val="22"/>
          <w:color w:val="auto"/>
        </w:rPr>
        <w:t>_____</w:t>
      </w:r>
    </w:p>
    <w:p>
      <w:pPr>
        <w:spacing w:after="0" w:line="204" w:lineRule="auto"/>
        <w:rPr>
          <w:sz w:val="20"/>
          <w:szCs w:val="20"/>
          <w:color w:val="auto"/>
        </w:rPr>
      </w:pPr>
      <w:r>
        <w:rPr>
          <w:rFonts w:ascii="Arial" w:cs="Arial" w:eastAsia="Arial" w:hAnsi="Arial"/>
          <w:sz w:val="22"/>
          <w:szCs w:val="22"/>
          <w:color w:val="auto"/>
        </w:rPr>
        <w:t>Sarah Hofstetter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1st day of September, 2021.</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Marc B. Lautenbach</w:t>
      </w:r>
      <w:r>
        <w:rPr>
          <w:rFonts w:ascii="Arial" w:cs="Arial" w:eastAsia="Arial" w:hAnsi="Arial"/>
          <w:sz w:val="22"/>
          <w:szCs w:val="22"/>
          <w:color w:val="auto"/>
        </w:rPr>
        <w:t>_____</w:t>
      </w:r>
    </w:p>
    <w:p>
      <w:pPr>
        <w:spacing w:after="0" w:line="204" w:lineRule="auto"/>
        <w:rPr>
          <w:sz w:val="20"/>
          <w:szCs w:val="20"/>
          <w:color w:val="auto"/>
        </w:rPr>
      </w:pPr>
      <w:r>
        <w:rPr>
          <w:rFonts w:ascii="Arial" w:cs="Arial" w:eastAsia="Arial" w:hAnsi="Arial"/>
          <w:sz w:val="22"/>
          <w:szCs w:val="22"/>
          <w:color w:val="auto"/>
        </w:rPr>
        <w:t>Marc B. Lautenbach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2nd day of September, 2021.</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Mary Alice Malone</w:t>
      </w:r>
      <w:r>
        <w:rPr>
          <w:rFonts w:ascii="Arial" w:cs="Arial" w:eastAsia="Arial" w:hAnsi="Arial"/>
          <w:sz w:val="22"/>
          <w:szCs w:val="22"/>
          <w:color w:val="auto"/>
        </w:rPr>
        <w:t>_____</w:t>
      </w:r>
    </w:p>
    <w:p>
      <w:pPr>
        <w:spacing w:after="0" w:line="204" w:lineRule="auto"/>
        <w:rPr>
          <w:sz w:val="20"/>
          <w:szCs w:val="20"/>
          <w:color w:val="auto"/>
        </w:rPr>
      </w:pPr>
      <w:r>
        <w:rPr>
          <w:rFonts w:ascii="Arial" w:cs="Arial" w:eastAsia="Arial" w:hAnsi="Arial"/>
          <w:sz w:val="22"/>
          <w:szCs w:val="22"/>
          <w:color w:val="auto"/>
        </w:rPr>
        <w:t>Mary Alice Malone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1st day of September, 2021.</w:t>
      </w:r>
    </w:p>
    <w:p>
      <w:pPr>
        <w:spacing w:after="0" w:line="204" w:lineRule="auto"/>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Keith R. McLoughlin</w:t>
      </w:r>
      <w:r>
        <w:rPr>
          <w:rFonts w:ascii="Arial" w:cs="Arial" w:eastAsia="Arial" w:hAnsi="Arial"/>
          <w:sz w:val="22"/>
          <w:szCs w:val="22"/>
          <w:color w:val="auto"/>
        </w:rPr>
        <w:t>_____</w:t>
      </w:r>
    </w:p>
    <w:p>
      <w:pPr>
        <w:spacing w:after="0" w:line="205" w:lineRule="auto"/>
        <w:rPr>
          <w:sz w:val="20"/>
          <w:szCs w:val="20"/>
          <w:color w:val="auto"/>
        </w:rPr>
      </w:pPr>
      <w:r>
        <w:rPr>
          <w:rFonts w:ascii="Arial" w:cs="Arial" w:eastAsia="Arial" w:hAnsi="Arial"/>
          <w:sz w:val="22"/>
          <w:szCs w:val="22"/>
          <w:color w:val="auto"/>
        </w:rPr>
        <w:t>Keith R. McLoughin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1st day of September, 2021.</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Kurt T. Schmidt</w:t>
      </w:r>
      <w:r>
        <w:rPr>
          <w:rFonts w:ascii="Arial" w:cs="Arial" w:eastAsia="Arial" w:hAnsi="Arial"/>
          <w:sz w:val="22"/>
          <w:szCs w:val="22"/>
          <w:color w:val="auto"/>
        </w:rPr>
        <w:t>_____</w:t>
      </w:r>
    </w:p>
    <w:p>
      <w:pPr>
        <w:spacing w:after="0" w:line="204" w:lineRule="auto"/>
        <w:rPr>
          <w:sz w:val="20"/>
          <w:szCs w:val="20"/>
          <w:color w:val="auto"/>
        </w:rPr>
      </w:pPr>
      <w:r>
        <w:rPr>
          <w:rFonts w:ascii="Arial" w:cs="Arial" w:eastAsia="Arial" w:hAnsi="Arial"/>
          <w:sz w:val="22"/>
          <w:szCs w:val="22"/>
          <w:color w:val="auto"/>
        </w:rPr>
        <w:t>Kurt T. Schmidt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ON FORM 10-K</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1, 2021,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Power of Attorney this 2nd day of September, 2021.</w:t>
      </w:r>
    </w:p>
    <w:p>
      <w:pPr>
        <w:ind w:left="660"/>
        <w:spacing w:after="0" w:line="217" w:lineRule="auto"/>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Archbold D. van Beuren</w:t>
      </w:r>
      <w:r>
        <w:rPr>
          <w:rFonts w:ascii="Arial" w:cs="Arial" w:eastAsia="Arial" w:hAnsi="Arial"/>
          <w:sz w:val="22"/>
          <w:szCs w:val="22"/>
          <w:color w:val="auto"/>
        </w:rPr>
        <w:t>_____</w:t>
      </w:r>
    </w:p>
    <w:p>
      <w:pPr>
        <w:spacing w:after="0" w:line="205" w:lineRule="auto"/>
        <w:rPr>
          <w:sz w:val="20"/>
          <w:szCs w:val="20"/>
          <w:color w:val="auto"/>
        </w:rPr>
      </w:pPr>
      <w:r>
        <w:rPr>
          <w:rFonts w:ascii="Arial" w:cs="Arial" w:eastAsia="Arial" w:hAnsi="Arial"/>
          <w:sz w:val="22"/>
          <w:szCs w:val="22"/>
          <w:color w:val="auto"/>
        </w:rPr>
        <w:t>Archbold D. van Beuren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90"/>
        <w:spacing w:after="0"/>
        <w:tabs>
          <w:tab w:leader="none" w:pos="4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239" w:lineRule="exact"/>
        <w:rPr>
          <w:sz w:val="20"/>
          <w:szCs w:val="20"/>
          <w:color w:val="auto"/>
        </w:rPr>
      </w:pPr>
    </w:p>
    <w:p>
      <w:pPr>
        <w:ind w:left="4160"/>
        <w:spacing w:after="0"/>
        <w:tabs>
          <w:tab w:leader="none" w:pos="4600" w:val="left"/>
        </w:tabs>
        <w:rPr>
          <w:sz w:val="20"/>
          <w:szCs w:val="20"/>
          <w:color w:val="auto"/>
        </w:rPr>
      </w:pPr>
      <w:r>
        <w:rPr>
          <w:rFonts w:ascii="Arial" w:cs="Arial" w:eastAsia="Arial" w:hAnsi="Arial"/>
          <w:sz w:val="18"/>
          <w:szCs w:val="18"/>
          <w:color w:val="auto"/>
        </w:rPr>
        <w:t>By:</w:t>
        <w:tab/>
        <w:t>/s/ Mark A. Clouse</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Mick J. Beekhuizen, certify that:</w:t>
      </w:r>
    </w:p>
    <w:p>
      <w:pPr>
        <w:spacing w:after="0" w:line="171" w:lineRule="exact"/>
        <w:rPr>
          <w:sz w:val="20"/>
          <w:szCs w:val="20"/>
          <w:color w:val="auto"/>
        </w:rPr>
      </w:pPr>
    </w:p>
    <w:p>
      <w:pPr>
        <w:ind w:left="400" w:hanging="190"/>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520" w:firstLine="202"/>
        <w:spacing w:after="0" w:line="263"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August 1, 2021 (the “Report”), I, Mark A. Clouse, President and Chief Executive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580" w:firstLine="202"/>
        <w:spacing w:after="0" w:line="263"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August 1, 2021 (the “Report”), I, Mick J. Beekhuizen, Executive Vice President and Chief Financial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9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1"/>
      <w:numFmt w:val="decimal"/>
      <w:start w:val="48"/>
    </w:lvl>
  </w:abstractNum>
  <w:abstractNum w:abstractNumId="7">
    <w:nsid w:val="374A3FE6"/>
    <w:multiLevelType w:val="hybridMultilevel"/>
    <w:lvl w:ilvl="0">
      <w:lvlJc w:val="left"/>
      <w:lvlText w:val="%1"/>
      <w:numFmt w:val="decimal"/>
      <w:start w:val="54"/>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2"/>
    </w:lvl>
  </w:abstractNum>
  <w:abstractNum w:abstractNumId="33">
    <w:nsid w:val="1F48EAA1"/>
    <w:multiLevelType w:val="hybridMultilevel"/>
    <w:lvl w:ilvl="0">
      <w:lvlJc w:val="left"/>
      <w:lvlText w:val="%1."/>
      <w:numFmt w:val="decimal"/>
      <w:start w:val="3"/>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5"/>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6"/>
    </w:lvl>
    <w:lvl w:ilvl="1">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4"/>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12"/>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8"/>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3"/>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lowerLetter"/>
      <w:start w:val="1"/>
    </w:lvl>
    <w:lvl w:ilvl="1">
      <w:lvlJc w:val="left"/>
      <w:lvlText w:val="%2."/>
      <w:numFmt w:val="decimal"/>
      <w:start w:val="1"/>
    </w:lvl>
  </w:abstractNum>
  <w:abstractNum w:abstractNumId="59">
    <w:nsid w:val="68EB2F63"/>
    <w:multiLevelType w:val="hybridMultilevel"/>
    <w:lvl w:ilvl="0">
      <w:lvlJc w:val="left"/>
      <w:lvlText w:val="%1."/>
      <w:numFmt w:val="decimal"/>
      <w:start w:val="2"/>
    </w:lvl>
    <w:lvl w:ilvl="1">
      <w:lvlJc w:val="left"/>
      <w:lvlText w:val="%2"/>
      <w:numFmt w:val="upperLetter"/>
      <w:start w:val="1"/>
    </w:lvl>
  </w:abstractNum>
  <w:abstractNum w:abstractNumId="60">
    <w:nsid w:val="4962813B"/>
    <w:multiLevelType w:val="hybridMultilevel"/>
    <w:lvl w:ilvl="0">
      <w:lvlJc w:val="left"/>
      <w:lvlText w:val="(%1)"/>
      <w:numFmt w:val="lowerLetter"/>
      <w:start w:val="2"/>
    </w:lvl>
  </w:abstractNum>
  <w:abstractNum w:abstractNumId="61">
    <w:nsid w:val="60B6DF70"/>
    <w:multiLevelType w:val="hybridMultilevel"/>
    <w:lvl w:ilvl="0">
      <w:lvlJc w:val="left"/>
      <w:lvlText w:val="2"/>
      <w:numFmt w:val="bullet"/>
      <w:start w:val="1"/>
    </w:lvl>
  </w:abstractNum>
  <w:abstractNum w:abstractNumId="62">
    <w:nsid w:val="6A5EE64"/>
    <w:multiLevelType w:val="hybridMultilevel"/>
    <w:lvl w:ilvl="0">
      <w:lvlJc w:val="left"/>
      <w:lvlText w:val="%1"/>
      <w:numFmt w:val="decimal"/>
      <w:start w:val="21"/>
    </w:lvl>
  </w:abstractNum>
  <w:abstractNum w:abstractNumId="63">
    <w:nsid w:val="14330624"/>
    <w:multiLevelType w:val="hybridMultilevel"/>
    <w:lvl w:ilvl="0">
      <w:lvlJc w:val="left"/>
      <w:lvlText w:val="%1"/>
      <w:numFmt w:val="decimal"/>
      <w:start w:val="23"/>
    </w:lvl>
  </w:abstractNum>
  <w:abstractNum w:abstractNumId="64">
    <w:nsid w:val="7FFFCA11"/>
    <w:multiLevelType w:val="hybridMultilevel"/>
    <w:lvl w:ilvl="0">
      <w:lvlJc w:val="left"/>
      <w:lvlText w:val="%1"/>
      <w:numFmt w:val="decimal"/>
      <w:start w:val="104"/>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decimal"/>
      <w:start w:val="3"/>
    </w:lvl>
  </w:abstractNum>
  <w:abstractNum w:abstractNumId="69">
    <w:nsid w:val="6EB5BD4"/>
    <w:multiLevelType w:val="hybridMultilevel"/>
    <w:lvl w:ilvl="0">
      <w:lvlJc w:val="left"/>
      <w:lvlText w:val="%1."/>
      <w:numFmt w:val="decimal"/>
      <w:start w:val="5"/>
    </w:lvl>
    <w:lvl w:ilvl="1">
      <w:lvlJc w:val="left"/>
      <w:lvlText w:val="(%2)"/>
      <w:numFmt w:val="lowerLetter"/>
      <w:start w:val="1"/>
    </w:lvl>
  </w:abstractNum>
  <w:abstractNum w:abstractNumId="70">
    <w:nsid w:val="6F6DD9AC"/>
    <w:multiLevelType w:val="hybridMultilevel"/>
    <w:lvl w:ilvl="0">
      <w:lvlJc w:val="left"/>
      <w:lvlText w:val="(%1)"/>
      <w:numFmt w:val="lowerLetter"/>
      <w:start w:val="4"/>
    </w:lvl>
  </w:abstractNum>
  <w:abstractNum w:abstractNumId="71">
    <w:nsid w:val="94211F2"/>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72">
    <w:nsid w:val="885E1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3">
    <w:nsid w:val="76272110"/>
    <w:multiLevelType w:val="hybridMultilevel"/>
    <w:lvl w:ilvl="0">
      <w:lvlJc w:val="left"/>
      <w:lvlText w:val="%1."/>
      <w:numFmt w:val="decimal"/>
      <w:start w:val="10"/>
    </w:lvl>
  </w:abstractNum>
  <w:abstractNum w:abstractNumId="74">
    <w:nsid w:val="4C04A8AF"/>
    <w:multiLevelType w:val="hybridMultilevel"/>
    <w:lvl w:ilvl="0">
      <w:lvlJc w:val="left"/>
      <w:lvlText w:val="%1."/>
      <w:numFmt w:val="decimal"/>
      <w:start w:val="1"/>
    </w:lvl>
    <w:lvl w:ilvl="1">
      <w:lvlJc w:val="left"/>
      <w:lvlText w:val="(%2)"/>
      <w:numFmt w:val="upperLetter"/>
      <w:start w:val="1"/>
    </w:lvl>
  </w:abstractNum>
  <w:abstractNum w:abstractNumId="75">
    <w:nsid w:val="1716703B"/>
    <w:multiLevelType w:val="hybridMultilevel"/>
    <w:lvl w:ilvl="0">
      <w:lvlJc w:val="left"/>
      <w:lvlText w:val="*"/>
      <w:numFmt w:val="bullet"/>
      <w:start w:val="1"/>
    </w:lvl>
    <w:lvl w:ilvl="1">
      <w:lvlJc w:val="left"/>
      <w:lvlText w:val="%2."/>
      <w:numFmt w:val="decimal"/>
      <w:start w:val="2"/>
    </w:lvl>
    <w:lvl w:ilvl="2">
      <w:lvlJc w:val="left"/>
      <w:lvlText w:val="(%3)"/>
      <w:numFmt w:val="upperLetter"/>
      <w:start w:val="1"/>
    </w:lvl>
  </w:abstractNum>
  <w:abstractNum w:abstractNumId="76">
    <w:nsid w:val="14E17E33"/>
    <w:multiLevelType w:val="hybridMultilevel"/>
    <w:lvl w:ilvl="0">
      <w:lvlJc w:val="left"/>
      <w:lvlText w:val="%1"/>
      <w:numFmt w:val="decimal"/>
      <w:start w:val="1"/>
    </w:lvl>
    <w:lvl w:ilvl="1">
      <w:lvlJc w:val="left"/>
      <w:lvlText w:val="(%2)"/>
      <w:numFmt w:val="upperLetter"/>
      <w:start w:val="5"/>
    </w:lvl>
  </w:abstractNum>
  <w:abstractNum w:abstractNumId="77">
    <w:nsid w:val="3222E7CD"/>
    <w:multiLevelType w:val="hybridMultilevel"/>
    <w:lvl w:ilvl="0">
      <w:lvlJc w:val="left"/>
      <w:lvlText w:val="%1."/>
      <w:numFmt w:val="decimal"/>
      <w:start w:val="5"/>
    </w:lvl>
    <w:lvl w:ilvl="1">
      <w:lvlJc w:val="left"/>
      <w:lvlText w:val="(%2)"/>
      <w:numFmt w:val="upperLetter"/>
      <w:start w:val="1"/>
    </w:lvl>
  </w:abstractNum>
  <w:abstractNum w:abstractNumId="78">
    <w:nsid w:val="74DE0EE3"/>
    <w:multiLevelType w:val="hybridMultilevel"/>
    <w:lvl w:ilvl="0">
      <w:lvlJc w:val="left"/>
      <w:lvlText w:val="%1"/>
      <w:numFmt w:val="decimal"/>
      <w:start w:val="1"/>
    </w:lvl>
    <w:lvl w:ilvl="1">
      <w:lvlJc w:val="left"/>
      <w:lvlText w:val="(%2)"/>
      <w:numFmt w:val="upperLetter"/>
      <w:start w:val="2"/>
    </w:lvl>
  </w:abstractNum>
  <w:abstractNum w:abstractNumId="79">
    <w:nsid w:val="68EBC550"/>
    <w:multiLevelType w:val="hybridMultilevel"/>
    <w:lvl w:ilvl="0">
      <w:lvlJc w:val="left"/>
      <w:lvlText w:val="%1."/>
      <w:numFmt w:val="decimal"/>
      <w:start w:val="7"/>
    </w:lvl>
    <w:lvl w:ilvl="1">
      <w:lvlJc w:val="left"/>
      <w:lvlText w:val="(%2)"/>
      <w:numFmt w:val="upperLetter"/>
      <w:start w:val="1"/>
    </w:lvl>
  </w:abstractNum>
  <w:abstractNum w:abstractNumId="80">
    <w:nsid w:val="2DF6D648"/>
    <w:multiLevelType w:val="hybridMultilevel"/>
    <w:lvl w:ilvl="0">
      <w:lvlJc w:val="left"/>
      <w:lvlText w:val="%1."/>
      <w:numFmt w:val="decimal"/>
      <w:start w:val="12"/>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2"/>
    </w:lvl>
    <w:lvl w:ilvl="1">
      <w:lvlJc w:val="left"/>
      <w:lvlText w:val="(%2)"/>
      <w:numFmt w:val="lowerLetter"/>
      <w:start w:val="1"/>
    </w:lvl>
  </w:abstractNum>
  <w:abstractNum w:abstractNumId="83">
    <w:nsid w:val="39EE015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84">
    <w:nsid w:val="57FC4FBB"/>
    <w:multiLevelType w:val="hybridMultilevel"/>
    <w:lvl w:ilvl="0">
      <w:lvlJc w:val="left"/>
      <w:lvlText w:val="(%1)"/>
      <w:numFmt w:val="decimal"/>
      <w:start w:val="6"/>
    </w:lvl>
    <w:lvl w:ilvl="1">
      <w:lvlJc w:val="left"/>
      <w:lvlText w:val="(%2)"/>
      <w:numFmt w:val="lowerLetter"/>
      <w:start w:val="4"/>
    </w:lvl>
    <w:lvl w:ilvl="2">
      <w:lvlJc w:val="left"/>
      <w:lvlText w:val="%3."/>
      <w:numFmt w:val="decimal"/>
      <w:start w:val="1"/>
    </w:lvl>
  </w:abstractNum>
  <w:abstractNum w:abstractNumId="85">
    <w:nsid w:val="CC1016F"/>
    <w:multiLevelType w:val="hybridMultilevel"/>
    <w:lvl w:ilvl="0">
      <w:lvlJc w:val="left"/>
      <w:lvlText w:val="(%1)"/>
      <w:numFmt w:val="decimal"/>
      <w:start w:val="5"/>
    </w:lvl>
    <w:lvl w:ilvl="1">
      <w:lvlJc w:val="left"/>
      <w:lvlText w:val="%2."/>
      <w:numFmt w:val="decimal"/>
      <w:start w:val="3"/>
    </w:lvl>
  </w:abstractNum>
  <w:abstractNum w:abstractNumId="86">
    <w:nsid w:val="43F1842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decimal"/>
      <w:start w:val="1"/>
    </w:lvl>
  </w:abstractNum>
  <w:abstractNum w:abstractNumId="87">
    <w:nsid w:val="60EF0119"/>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88">
    <w:nsid w:val="26F324BA"/>
    <w:multiLevelType w:val="hybridMultilevel"/>
    <w:lvl w:ilvl="0">
      <w:lvlJc w:val="left"/>
      <w:lvlText w:val="%1."/>
      <w:numFmt w:val="decimal"/>
      <w:start w:val="6"/>
    </w:lvl>
  </w:abstractNum>
  <w:abstractNum w:abstractNumId="89">
    <w:nsid w:val="7F01579B"/>
    <w:multiLevelType w:val="hybridMultilevel"/>
    <w:lvl w:ilvl="0">
      <w:lvlJc w:val="left"/>
      <w:lvlText w:val="%1."/>
      <w:numFmt w:val="decimal"/>
      <w:start w:val="7"/>
    </w:lvl>
  </w:abstractNum>
  <w:abstractNum w:abstractNumId="90">
    <w:nsid w:val="49DA307D"/>
    <w:multiLevelType w:val="hybridMultilevel"/>
    <w:lvl w:ilvl="0">
      <w:lvlJc w:val="left"/>
      <w:lvlText w:val="%1."/>
      <w:numFmt w:val="decimal"/>
      <w:start w:val="1"/>
    </w:lvl>
    <w:lvl w:ilvl="1">
      <w:lvlJc w:val="left"/>
      <w:lvlText w:val="(%2)"/>
      <w:numFmt w:val="upperLetter"/>
      <w:start w:val="1"/>
    </w:lvl>
  </w:abstractNum>
  <w:abstractNum w:abstractNumId="91">
    <w:nsid w:val="7055A5F5"/>
    <w:multiLevelType w:val="hybridMultilevel"/>
    <w:lvl w:ilvl="0">
      <w:lvlJc w:val="left"/>
      <w:lvlText w:val="*"/>
      <w:numFmt w:val="bullet"/>
      <w:start w:val="1"/>
    </w:lvl>
    <w:lvl w:ilvl="1">
      <w:lvlJc w:val="left"/>
      <w:lvlText w:val="%2."/>
      <w:numFmt w:val="decimal"/>
      <w:start w:val="3"/>
    </w:lvl>
    <w:lvl w:ilvl="2">
      <w:lvlJc w:val="left"/>
      <w:lvlText w:val="(%3)"/>
      <w:numFmt w:val="upperLetter"/>
      <w:start w:val="1"/>
    </w:lvl>
  </w:abstractNum>
  <w:abstractNum w:abstractNumId="92">
    <w:nsid w:val="5FB8370B"/>
    <w:multiLevelType w:val="hybridMultilevel"/>
    <w:lvl w:ilvl="0">
      <w:lvlJc w:val="left"/>
      <w:lvlText w:val="%1"/>
      <w:numFmt w:val="decimal"/>
      <w:start w:val="1"/>
    </w:lvl>
    <w:lvl w:ilvl="1">
      <w:lvlJc w:val="left"/>
      <w:lvlText w:val="(%2)"/>
      <w:numFmt w:val="upperLetter"/>
      <w:start w:val="7"/>
    </w:lvl>
  </w:abstractNum>
  <w:abstractNum w:abstractNumId="93">
    <w:nsid w:val="50801EE1"/>
    <w:multiLevelType w:val="hybridMultilevel"/>
    <w:lvl w:ilvl="0">
      <w:lvlJc w:val="left"/>
      <w:lvlText w:val="%1."/>
      <w:numFmt w:val="decimal"/>
      <w:start w:val="5"/>
    </w:lvl>
    <w:lvl w:ilvl="1">
      <w:lvlJc w:val="left"/>
      <w:lvlText w:val="(%2)"/>
      <w:numFmt w:val="upperLetter"/>
      <w:start w:val="1"/>
    </w:lvl>
  </w:abstractNum>
  <w:abstractNum w:abstractNumId="94">
    <w:nsid w:val="488AC1A"/>
    <w:multiLevelType w:val="hybridMultilevel"/>
    <w:lvl w:ilvl="0">
      <w:lvlJc w:val="left"/>
      <w:lvlText w:val="%1"/>
      <w:numFmt w:val="decimal"/>
      <w:start w:val="1"/>
    </w:lvl>
    <w:lvl w:ilvl="1">
      <w:lvlJc w:val="left"/>
      <w:lvlText w:val="(%2)"/>
      <w:numFmt w:val="upperLetter"/>
      <w:start w:val="2"/>
    </w:lvl>
  </w:abstractNum>
  <w:abstractNum w:abstractNumId="95">
    <w:nsid w:val="5FB8011C"/>
    <w:multiLevelType w:val="hybridMultilevel"/>
    <w:lvl w:ilvl="0">
      <w:lvlJc w:val="left"/>
      <w:lvlText w:val="%1."/>
      <w:numFmt w:val="decimal"/>
      <w:start w:val="8"/>
    </w:lvl>
    <w:lvl w:ilvl="1">
      <w:lvlJc w:val="left"/>
      <w:lvlText w:val="%2"/>
      <w:numFmt w:val="upperLetter"/>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47"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10" Type="http://schemas.openxmlformats.org/officeDocument/2006/relationships/hyperlink" Target="http://www.sec.gov/Archives/edgar/data/16732/000095015919000116/exhibit2.htm" TargetMode="External"/><Relationship Id="rId111" Type="http://schemas.openxmlformats.org/officeDocument/2006/relationships/hyperlink" Target="http://www.sec.gov/Archives/edgar/data/16732/000089322002001206/w64292exv3wxiy.txt" TargetMode="External"/><Relationship Id="rId112" Type="http://schemas.openxmlformats.org/officeDocument/2006/relationships/hyperlink" Target="https://www.sec.gov/Archives/edgar/data/16732/000001673220000072/by-lawsofcampbellsoupc.htm" TargetMode="External"/><Relationship Id="rId113" Type="http://schemas.openxmlformats.org/officeDocument/2006/relationships/hyperlink" Target="http://www.sec.gov/Archives/edgar/data/16732/000095010308002875/dp11895_ex4a.htm" TargetMode="External"/><Relationship Id="rId114" Type="http://schemas.openxmlformats.org/officeDocument/2006/relationships/hyperlink" Target="http://www.sec.gov/Archives/edgar/data/16732/000119312512330540/d385353dex41.htm" TargetMode="External"/><Relationship Id="rId115" Type="http://schemas.openxmlformats.org/officeDocument/2006/relationships/hyperlink" Target="https://www.sec.gov/Archives/edgar/data/16732/000119312520259691/d57612ds3asr.htm" TargetMode="External"/><Relationship Id="rId116" Type="http://schemas.openxmlformats.org/officeDocument/2006/relationships/hyperlink" Target="http://www.sec.gov/Archives/edgar/data/16732/000119312515097806/d801200dex41.htm" TargetMode="External"/><Relationship Id="rId117" Type="http://schemas.openxmlformats.org/officeDocument/2006/relationships/hyperlink" Target="http://www.sec.gov/Archives/edgar/data/16732/000119312515097806/d801200dex42.htm" TargetMode="External"/><Relationship Id="rId118" Type="http://schemas.openxmlformats.org/officeDocument/2006/relationships/hyperlink" Target="http://www.sec.gov/Archives/edgar/data/16732/000095015918000106/ex4-2_2.htm" TargetMode="External"/><Relationship Id="rId119" Type="http://schemas.openxmlformats.org/officeDocument/2006/relationships/hyperlink" Target="http://www.sec.gov/Archives/edgar/data/16732/000095015918000106/ex4-2_4.htm" TargetMode="External"/><Relationship Id="rId120" Type="http://schemas.openxmlformats.org/officeDocument/2006/relationships/hyperlink" Target="http://www.sec.gov/Archives/edgar/data/16732/000095015918000106/ex4-2_5.htm" TargetMode="External"/><Relationship Id="rId121" Type="http://schemas.openxmlformats.org/officeDocument/2006/relationships/hyperlink" Target="http://www.sec.gov/Archives/edgar/data/16732/000095015918000106/ex4-2_6.htm" TargetMode="External"/><Relationship Id="rId122" Type="http://schemas.openxmlformats.org/officeDocument/2006/relationships/hyperlink" Target="http://www.sec.gov/Archives/edgar/data/16732/000095015918000106/ex4-2_7.htm" TargetMode="External"/><Relationship Id="rId123" Type="http://schemas.openxmlformats.org/officeDocument/2006/relationships/hyperlink" Target="https://www.sec.gov/Archives/edgar/data/16732/000119312520119114/d916212dex421.htm" TargetMode="External"/><Relationship Id="rId124" Type="http://schemas.openxmlformats.org/officeDocument/2006/relationships/hyperlink" Target="http://www.sec.gov/Archives/edgar/data/16732/000119312520119114/d916212dex422.htm" TargetMode="External"/><Relationship Id="rId125" Type="http://schemas.openxmlformats.org/officeDocument/2006/relationships/hyperlink" Target="https://www.sec.gov/Archives/edgar/data/16732/000001673219000070/cpb-7292018x10xkxexb4p.htm" TargetMode="External"/><Relationship Id="rId126" Type="http://schemas.openxmlformats.org/officeDocument/2006/relationships/hyperlink" Target="http://www.sec.gov/Archives/edgar/data/16732/000095012310092073/w79419def14a.htm" TargetMode="External"/><Relationship Id="rId127" Type="http://schemas.openxmlformats.org/officeDocument/2006/relationships/hyperlink" Target="http://www.sec.gov/Archives/edgar/data/16732/000119312515341359/d35422ddef14a.htm" TargetMode="External"/><Relationship Id="rId130" Type="http://schemas.openxmlformats.org/officeDocument/2006/relationships/hyperlink" Target="http://www.sec.gov/Archives/edgar/data/16732/000119312514360923/d773216ddef14a.htm" TargetMode="External"/><Relationship Id="rId131" Type="http://schemas.openxmlformats.org/officeDocument/2006/relationships/hyperlink" Target="http://www.sec.gov/Archives/edgar/data/16732/000089322009000515/w73131exv10wxay.htm" TargetMode="External"/><Relationship Id="rId132" Type="http://schemas.openxmlformats.org/officeDocument/2006/relationships/hyperlink" Target="http://www.sec.gov/Archives/edgar/data/16732/000095012311023447/w81833exv10wxay.htm" TargetMode="External"/><Relationship Id="rId133" Type="http://schemas.openxmlformats.org/officeDocument/2006/relationships/hyperlink" Target="http://www.sec.gov/Archives/edgar/data/16732/000089322000001180/w41784ex10-e.txt" TargetMode="External"/><Relationship Id="rId134" Type="http://schemas.openxmlformats.org/officeDocument/2006/relationships/hyperlink" Target="http://www.sec.gov/Archives/edgar/data/16732/000001673217000025/exhibit4c-campbellsoupcomp.htm" TargetMode="External"/><Relationship Id="rId135" Type="http://schemas.openxmlformats.org/officeDocument/2006/relationships/hyperlink" Target="http://www.sec.gov/Archives/edgar/data/16732/000001673217000058/cpb-7302017x10xkxexb10i.htm" TargetMode="External"/><Relationship Id="rId136" Type="http://schemas.openxmlformats.org/officeDocument/2006/relationships/hyperlink" Target="http://www.sec.gov/Archives/edgar/data/16732/000001673217000058/cpb-7302017x10xkxexb10j.htm" TargetMode="External"/><Relationship Id="rId137" Type="http://schemas.openxmlformats.org/officeDocument/2006/relationships/hyperlink" Target="http://www.sec.gov/Archives/edgar/data/16732/000095012311087197/w83891exv10wm.htm" TargetMode="External"/><Relationship Id="rId138" Type="http://schemas.openxmlformats.org/officeDocument/2006/relationships/hyperlink" Target="http://www.sec.gov/Archives/edgar/data/16732/000001673216000146/cpb-7312016x10xkxexb10o.htm" TargetMode="External"/><Relationship Id="rId139" Type="http://schemas.openxmlformats.org/officeDocument/2006/relationships/hyperlink" Target="http://www.sec.gov/Archives/edgar/data/16732/000089322009000515/w73131exv10wxcy.htm" TargetMode="External"/><Relationship Id="rId140" Type="http://schemas.openxmlformats.org/officeDocument/2006/relationships/hyperlink" Target="http://www.sec.gov/Archives/edgar/data/16732/000095012311023447/w81833exv10wxcy.htm" TargetMode="External"/><Relationship Id="rId141" Type="http://schemas.openxmlformats.org/officeDocument/2006/relationships/hyperlink" Target="http://www.sec.gov/Archives/edgar/data/16732/000001673215000059/cpb-1112015xexb10.htm" TargetMode="External"/><Relationship Id="rId142" Type="http://schemas.openxmlformats.org/officeDocument/2006/relationships/hyperlink" Target="http://www.sec.gov/Archives/edgar/data/16732/000001673216000146/cpb-7312046xexb10dd.htm" TargetMode="External"/><Relationship Id="rId143" Type="http://schemas.openxmlformats.org/officeDocument/2006/relationships/hyperlink" Target="http://www.sec.gov/Archives/edgar/data/16732/000001673216000173/cpb-10302016xexbx10b.htm" TargetMode="External"/><Relationship Id="rId144" Type="http://schemas.openxmlformats.org/officeDocument/2006/relationships/hyperlink" Target="http://www.sec.gov/Archives/edgar/data/16732/000001673216000146/cpb-7312016xexb10ff.htm" TargetMode="External"/><Relationship Id="rId145" Type="http://schemas.openxmlformats.org/officeDocument/2006/relationships/hyperlink" Target="http://www.sec.gov/Archives/edgar/data/16732/000001673216000173/cpb-10302016xexbx10c.htm" TargetMode="External"/><Relationship Id="rId146" Type="http://schemas.openxmlformats.org/officeDocument/2006/relationships/hyperlink" Target="https://www.sec.gov/Archives/edgar/data/16732/000001673220000018/cpb-exb102x1262020x10xq.htm" TargetMode="External"/><Relationship Id="rId148" Type="http://schemas.openxmlformats.org/officeDocument/2006/relationships/hyperlink" Target="https://www.sec.gov/Archives/edgar/data/16732/000119312520283951/d94086dex10.htm" TargetMode="External"/><Relationship Id="rId149" Type="http://schemas.openxmlformats.org/officeDocument/2006/relationships/hyperlink" Target="http://www.sec.gov/Archives/edgar/data/16732/000095015918000521/ex10-1.htm" TargetMode="External"/><Relationship Id="rId150" Type="http://schemas.openxmlformats.org/officeDocument/2006/relationships/hyperlink" Target="https://www.sec.gov/Archives/edgar/data/16732/000001673220000167/cpb-ex102x1112010xq.htm" TargetMode="External"/><Relationship Id="rId151" Type="http://schemas.openxmlformats.org/officeDocument/2006/relationships/hyperlink" Target="http://www.sec.gov/Archives/edgar/data/16732/000001673219000024/cpb-10282018x10xqxexb10b.htm" TargetMode="External"/><Relationship Id="rId152" Type="http://schemas.openxmlformats.org/officeDocument/2006/relationships/hyperlink" Target="https://www.sec.gov/Archives/edgar/data/16732/000001673220000111/cpb-exhibit10bb.htm" TargetMode="External"/><Relationship Id="rId153" Type="http://schemas.openxmlformats.org/officeDocument/2006/relationships/hyperlink" Target="https://www.sec.gov/Archives/edgar/data/16732/000001673221000034/cpb-ex101x1312021x10xq.htm" TargetMode="External"/><Relationship Id="rId154" Type="http://schemas.openxmlformats.org/officeDocument/2006/relationships/hyperlink" Target="http://www.sec.gov/Archives/edgar/data/16732/000162828019003777/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2021-09-23T07:06:16Z</dcterms:created>
  <dcterms:modified xsi:type="dcterms:W3CDTF">2021-09-23T07:06:16Z</dcterms:modified>
</cp:coreProperties>
</file>