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3920" w:right="2960" w:hanging="3914"/>
        <w:spacing w:after="0" w:line="248" w:lineRule="auto"/>
        <w:tabs>
          <w:tab w:leader="none" w:pos="18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February 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2965450</wp:posOffset>
            </wp:positionH>
            <wp:positionV relativeFrom="paragraph">
              <wp:posOffset>10795</wp:posOffset>
            </wp:positionV>
            <wp:extent cx="121158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4"/>
          <w:szCs w:val="24"/>
          <w:color w:val="auto"/>
        </w:rPr>
      </w:pPr>
    </w:p>
    <w:p>
      <w:pPr>
        <w:ind w:right="3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00"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298,146,488 shares of capital stock outstanding as of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27</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42</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43</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4,632</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40" w:type="dxa"/>
            <w:vAlign w:val="bottom"/>
          </w:tcPr>
          <w:p>
            <w:pPr>
              <w:spacing w:after="0"/>
              <w:rPr>
                <w:sz w:val="16"/>
                <w:szCs w:val="16"/>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3, 2025</w:t>
            </w:r>
          </w:p>
        </w:tc>
      </w:tr>
      <w:tr>
        <w:trPr>
          <w:trHeight w:val="24"/>
        </w:trPr>
        <w:tc>
          <w:tcPr>
            <w:tcW w:w="67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2,730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2,751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4,992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4,335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25"/>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1,429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5"/>
        </w:trPr>
        <w:tc>
          <w:tcPr>
            <w:tcW w:w="6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taxes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2,690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6,647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1,393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11,341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(Note 17)</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0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4,796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4,005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4,007</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15,348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Pr>
          <w:p>
            <w:pPr>
              <w:spacing w:after="0"/>
              <w:rPr>
                <w:sz w:val="19"/>
                <w:szCs w:val="19"/>
                <w:color w:val="auto"/>
              </w:rPr>
            </w:pPr>
          </w:p>
        </w:tc>
        <w:tc>
          <w:tcPr>
            <w:tcW w:w="62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routes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businesses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9"/>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ind w:left="280"/>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($.39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26, 2025</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755"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Net earnings (loss)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($.76 per share)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purchased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issued under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2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391</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9"/>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2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(228)</w:t>
            </w:r>
          </w:p>
        </w:tc>
        <w:tc>
          <w:tcPr>
            <w:tcW w:w="1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99"/>
        </w:trPr>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(1)</w:t>
            </w: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(56)</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31"/>
        </w:trPr>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55</w:t>
            </w: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(31)</w:t>
            </w:r>
          </w:p>
        </w:tc>
        <w:tc>
          <w:tcPr>
            <w:tcW w:w="2620" w:type="dxa"/>
            <w:vAlign w:val="bottom"/>
          </w:tcPr>
          <w:p>
            <w:pPr>
              <w:jc w:val="right"/>
              <w:ind w:right="1889"/>
              <w:spacing w:after="0"/>
              <w:rPr>
                <w:sz w:val="20"/>
                <w:szCs w:val="20"/>
                <w:color w:val="auto"/>
              </w:rPr>
            </w:pPr>
            <w:r>
              <w:rPr>
                <w:rFonts w:ascii="Times New Roman" w:cs="Times New Roman" w:eastAsia="Times New Roman" w:hAnsi="Times New Roman"/>
                <w:sz w:val="14"/>
                <w:szCs w:val="14"/>
                <w:color w:val="auto"/>
              </w:rPr>
              <w:t>(16)</w:t>
            </w:r>
          </w:p>
        </w:tc>
        <w:tc>
          <w:tcPr>
            <w:tcW w:w="1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-572770</wp:posOffset>
            </wp:positionV>
            <wp:extent cx="7117715"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-320675</wp:posOffset>
            </wp:positionV>
            <wp:extent cx="7117715" cy="12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560" w:space="720"/>
            <w:col w:w="6940"/>
          </w:cols>
          <w:pgMar w:left="320" w:top="755" w:right="35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2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26, 2025</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(1,208)</w:t>
            </w:r>
          </w:p>
        </w:tc>
        <w:tc>
          <w:tcPr>
            <w:tcW w:w="4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4,716</w:t>
            </w:r>
          </w:p>
        </w:tc>
        <w:tc>
          <w:tcPr>
            <w:tcW w:w="6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November 2,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(1,189)</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379</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4,769</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145</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($.39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w:t>
            </w:r>
          </w:p>
        </w:tc>
        <w:tc>
          <w:tcPr>
            <w:tcW w:w="420" w:type="dxa"/>
            <w:vAlign w:val="bottom"/>
          </w:tcPr>
          <w:p>
            <w:pPr>
              <w:spacing w:after="0"/>
              <w:rPr>
                <w:sz w:val="11"/>
                <w:szCs w:val="11"/>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w:t>
            </w:r>
          </w:p>
        </w:tc>
        <w:tc>
          <w:tcPr>
            <w:tcW w:w="3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1, 2026</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4,796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3,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4,694</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339</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339</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($.78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(235)</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(26)</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45</w:t>
            </w:r>
          </w:p>
        </w:tc>
        <w:tc>
          <w:tcPr>
            <w:tcW w:w="4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3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1, 2026</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(1,188)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4,796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and its consolidated subsidiaries.</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3, 2025. Certain reclassifications to our previously reported financial information were made to conform to the current-period presentation.</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2, 2026. There will be 52 weeks in 2026. There were 53 weeks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may be applied on a prospective basis or retrospectively. We are currently evaluating the impact that the new guidance will have on our consolidated financial statements.</w:t>
      </w:r>
    </w:p>
    <w:p>
      <w:pPr>
        <w:spacing w:after="0" w:line="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guidance to clarify and modernize the accounting for costs related to internal-use software. The guidance eliminates references to various stages of a software development project and clarifies the threshold to apply to begin capitalizing costs. The guidance is effective for fiscal years beginning after December 15, 2027, and interim periods within those fiscal years. The guidance may be applied on a prospective, retrospective or modified transition approach. Early adoption is permitted. We are currently evaluating the impact that the new guidance will have on our consolidated financial statements.</w:t>
      </w:r>
    </w:p>
    <w:p>
      <w:pPr>
        <w:spacing w:after="0" w:line="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guidance to clarify and improve hedge accounting guidance. The guidance, which is intended to more closely align hedge accounting with the economics of an entity’s risk management activities, is effective for fiscal years beginning after December 15, 2026, and interim periods within those fiscal years. Early adoption is permitted. The guidance is to be applied on a prospective basis.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authoritative guidance on the accounting for government grants received by business entities. The guidance defines government grants and establishes recognition, presentation and disclosure requirements. The guidance is effective for fiscal years beginning after December 15, 2028, and interim periods within those fiscal years. The guidance may be applied on a modified transition approach or retrospectively. Early adoption is permitted. We are currently evaluating the impact that the new guidance will have on our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Pending Acquisition</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tomato-based pasta sauces. The aggregate consideration for the transaction is $286 million to be paid in two tranches: (i) $146 million, payable in cash at the closing, and (ii) $140 million payable at our sole discretion in either cash or unregistered shares of our capital stock (not to exceed 19.9% of our outstanding capital stock and voting power prior to issuance) on the first anniversary of the closing. The remaining 51% of the outstanding equity interests of La Regina are subject to a call option granted to us and a put option granted to La Regina. The call option may be exercised from the first anniversary of the closing until the later of the tenth anniversary of the closing and the date of cessation of the material commercial agreements between the parties. Under the call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18"/>
          <w:szCs w:val="18"/>
          <w:color w:val="auto"/>
        </w:rPr>
        <w:t>option, we may, during specified exercise periods, acquire additional equity interests in increments of not less than 2% from La Regina equity holders at a price based on an implied total equity value of approximately $584 million, subject to the payment of a control premium of up to 20% and to a 20% reduction for specified material adverse changes. The put option may be exercised from three years after the first anniversary of the closing until the tenth anniversary of the closing. Under the put option, La Regina equity holders may require us to purchase all or a portion of their remaining equity interests during a defined exercise period, subject to certain conditions and similar pricing mechanics as the call option. The transaction is subject to certain customary conditions, including, among other things (a) the accuracy of the representations and warranties of La Regina as of the closing of the transaction, (b) compliance in all material respects with pre-closing obligations and covenants under each of the purchase agreements, and (c) the absence of a material adverse change. Each purchase agreement provides for an outside closing date of June 8, 2026, which we may extend once by up to thirty (30) business days upon prior notice. If the closing conditions have not been satisfied or waived by the outside closing date, each purchase agreement will automatically terminate, subject to certain specified provisions that survive termination. We expect to consolidate the results of La Regina and reflect the remaining 51% of the outstanding equity interests as non-controlling interests in our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Divestitures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for $70 million. We recognized a pre-tax loss on the sale of $25 million, or $19 million after tax. In connection with the sale, we provided certain transition services to support the business. The business had net sales of $9 million through August 26, 2024. Earnings were not material. The results of the business were reflected within the Snacks reportable segment.</w:t>
      </w:r>
    </w:p>
    <w:p>
      <w:pPr>
        <w:spacing w:after="0" w:line="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entered into an agreement to sell our noosa yoghurt business in November 2024. The noosa yoghurt business was purchased as part of the Sovos Brands, Inc. (Sovos Brands) acquisition. In the second quarter of 2025, we recorded $15 million of tax expense related to the sale of the business. We completed the sale on February 24, 2025, for $188 million, subject to certain customary purchase price adjustments, which resulted in $5 million of additional proceeds in the first quarter of 2026. The after-tax loss recorded on the sale in 2025 was $15 million. In connection with the sale, we provided certain transition services to support the business. Net sales of the business were $39 million and $83 million for the three- and six-month periods ended January 26, 2025, respectively, and $99 million through February 24, 2025. Earnings were not material in the periods. The results of the business were reflected within the Meals &amp; Beverages reportable segment.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4"/>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9"/>
                <w:szCs w:val="9"/>
                <w:b w:val="1"/>
                <w:bCs w:val="1"/>
                <w:color w:val="auto"/>
              </w:rPr>
              <w:t>(2)</w:t>
            </w:r>
          </w:p>
        </w:tc>
        <w:tc>
          <w:tcPr>
            <w:tcW w:w="15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3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26,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February 1, 2026, August 3, 2025, January 26, 2025 and July 28, 2024.</w:t>
      </w:r>
    </w:p>
    <w:p>
      <w:pPr>
        <w:ind w:left="320" w:hanging="314"/>
        <w:spacing w:after="0" w:line="191"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February 1, 2026, January 26, 2025 and July 28, 2024, and $3 million as of August 3, 2025.</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$2 million as of February 1, 2026 and August 3, 2025, $3 million as of January 26, 2025 and $1 million as of July 28, 2024.</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related to noncontrolling interests were not material.</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August 3, 2025</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3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February 1, 2026</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9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(387)</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(387)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Indefinite-lived trademarks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3" w:lineRule="exact"/>
        <w:rPr>
          <w:sz w:val="20"/>
          <w:szCs w:val="20"/>
          <w:color w:val="auto"/>
        </w:rPr>
      </w:pPr>
    </w:p>
    <w:p>
      <w:pPr>
        <w:ind w:left="320" w:hanging="314"/>
        <w:spacing w:after="0" w:line="226" w:lineRule="auto"/>
        <w:tabs>
          <w:tab w:leader="none" w:pos="3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and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Stella D'oro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Archway</w:t>
      </w:r>
      <w:r>
        <w:rPr>
          <w:rFonts w:ascii="Times New Roman" w:cs="Times New Roman" w:eastAsia="Times New Roman" w:hAnsi="Times New Roman"/>
          <w:sz w:val="18"/>
          <w:szCs w:val="18"/>
          <w:color w:val="auto"/>
        </w:rPr>
        <w:t>, collectively referred to as our "Allied brands."</w:t>
      </w:r>
    </w:p>
    <w:p>
      <w:pPr>
        <w:spacing w:after="0" w:line="7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$10 million and $21 million for the three- and six-month periods ended February 1, 2026, and $19 million and $39 million for the three- and six-month periods ended January 26, 2025, respectively. Amortization expense for the three- and six-month periods ended January 26, 2025 included accelerated amortization expense of $7 million and $14 million, respectively, on customer relationships, which began in the fourth quarter of 2023 due to the loss of certain contract manufacturing customers. As of February 1, 2026, amortizable intangible assets had a weighted-average remaining useful life of 18 years. Amortization expense is estimated to be approximately $40 million per year for each of the next five fiscal years.</w:t>
      </w:r>
    </w:p>
    <w:p>
      <w:pPr>
        <w:spacing w:after="0" w:line="53"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 xml:space="preserve">As of the 2025 annual impairment testing, indefinite-lived trademarks with approximately 10% or less of excess coverage of fair value over carrying value had an aggregate carrying value of $2.587 billion and included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7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two operating segments, which are also our reportable segments, are as follows:</w:t>
      </w:r>
    </w:p>
    <w:p>
      <w:pPr>
        <w:spacing w:after="0" w:line="98" w:lineRule="exact"/>
        <w:rPr>
          <w:sz w:val="20"/>
          <w:szCs w:val="20"/>
          <w:color w:val="auto"/>
        </w:rPr>
      </w:pPr>
    </w:p>
    <w:p>
      <w:pPr>
        <w:jc w:val="both"/>
        <w:ind w:left="640" w:hanging="316"/>
        <w:spacing w:after="0" w:line="250" w:lineRule="auto"/>
        <w:tabs>
          <w:tab w:leader="none" w:pos="609"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Meals &amp; Beverages, which consists of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pasta;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as of March 12, 2024,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w:t>
      </w:r>
      <w:r>
        <w:rPr>
          <w:rFonts w:ascii="Times New Roman" w:cs="Times New Roman" w:eastAsia="Times New Roman" w:hAnsi="Times New Roman"/>
          <w:sz w:val="18"/>
          <w:szCs w:val="18"/>
          <w:i w:val="1"/>
          <w:iCs w:val="1"/>
          <w:color w:val="auto"/>
        </w:rPr>
        <w:t>Michael Angelo’s</w:t>
      </w:r>
      <w:r>
        <w:rPr>
          <w:rFonts w:ascii="Times New Roman" w:cs="Times New Roman" w:eastAsia="Times New Roman" w:hAnsi="Times New Roman"/>
          <w:sz w:val="18"/>
          <w:szCs w:val="18"/>
          <w:color w:val="auto"/>
        </w:rPr>
        <w:t xml:space="preserve"> frozen entrées and pasta sauces;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xml:space="preserve"> yogurts. The noosa yoghurt business was sold on February 24, 2025. The segment also includes snacking products in foodservice and Canada, and beginning in 2026, the snacking and meals and beverages retail business in Latin America; and</w:t>
      </w:r>
    </w:p>
    <w:p>
      <w:pPr>
        <w:spacing w:after="0" w:line="51" w:lineRule="exact"/>
        <w:rPr>
          <w:rFonts w:ascii="Arial" w:cs="Arial" w:eastAsia="Arial" w:hAnsi="Arial"/>
          <w:sz w:val="18"/>
          <w:szCs w:val="18"/>
          <w:color w:val="auto"/>
        </w:rPr>
      </w:pPr>
    </w:p>
    <w:p>
      <w:pPr>
        <w:jc w:val="both"/>
        <w:ind w:left="640" w:hanging="316"/>
        <w:spacing w:after="0" w:line="283" w:lineRule="auto"/>
        <w:tabs>
          <w:tab w:leader="none" w:pos="609"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The segment also included the results of our Pop Secret popcorn business, which was sold on August 26, 2024.</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4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Our CODM uses segment operating earnings as the profit measure in evaluating segment performance during the annual plan and forecasting process and in monitoring actual performance versus plan. Segment operating earnings are comprised of earnings before interest, taxes and costs associated with restructuring activities, cost savings and optimization initiatives, impairment charges, accelerated amortization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by the CODM.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6"/>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9"/>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780" w:type="dxa"/>
            <w:vAlign w:val="bottom"/>
            <w:gridSpan w:val="2"/>
          </w:tcPr>
          <w:p>
            <w:pPr>
              <w:jc w:val="center"/>
              <w:ind w:right="41"/>
              <w:spacing w:after="0" w:line="13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4"/>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103"/>
              <w:spacing w:after="0" w:line="133"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0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914</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6"/>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9"/>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1"/>
                <w:szCs w:val="11"/>
                <w:color w:val="auto"/>
              </w:rPr>
            </w:pPr>
          </w:p>
        </w:tc>
        <w:tc>
          <w:tcPr>
            <w:tcW w:w="780" w:type="dxa"/>
            <w:vAlign w:val="bottom"/>
            <w:gridSpan w:val="2"/>
          </w:tcPr>
          <w:p>
            <w:pPr>
              <w:jc w:val="center"/>
              <w:ind w:right="41"/>
              <w:spacing w:after="0" w:line="13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4"/>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ind w:right="103"/>
              <w:spacing w:after="0" w:line="133" w:lineRule="exact"/>
              <w:rPr>
                <w:sz w:val="20"/>
                <w:szCs w:val="20"/>
                <w:color w:val="auto"/>
              </w:rPr>
            </w:pPr>
            <w:r>
              <w:rPr>
                <w:rFonts w:ascii="Times New Roman" w:cs="Times New Roman" w:eastAsia="Times New Roman" w:hAnsi="Times New Roman"/>
                <w:sz w:val="14"/>
                <w:szCs w:val="14"/>
                <w:b w:val="1"/>
                <w:bCs w:val="1"/>
                <w:color w:val="auto"/>
              </w:rPr>
              <w:t>Meals &amp;</w:t>
            </w:r>
          </w:p>
        </w:tc>
        <w:tc>
          <w:tcPr>
            <w:tcW w:w="100" w:type="dxa"/>
            <w:vAlign w:val="bottom"/>
          </w:tcPr>
          <w:p>
            <w:pPr>
              <w:spacing w:after="0"/>
              <w:rPr>
                <w:sz w:val="11"/>
                <w:szCs w:val="11"/>
                <w:color w:val="auto"/>
              </w:rPr>
            </w:pPr>
          </w:p>
        </w:tc>
        <w:tc>
          <w:tcPr>
            <w:tcW w:w="10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Beverages</w:t>
            </w:r>
          </w:p>
        </w:tc>
        <w:tc>
          <w:tcPr>
            <w:tcW w:w="10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2,321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329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190</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124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7"/>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spacing w:after="0"/>
              <w:rPr>
                <w:sz w:val="19"/>
                <w:szCs w:val="19"/>
                <w:color w:val="auto"/>
              </w:rPr>
            </w:pPr>
          </w:p>
        </w:tc>
        <w:tc>
          <w:tcPr>
            <w:tcW w:w="7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6"/>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00" w:type="dxa"/>
            <w:vAlign w:val="bottom"/>
            <w:gridSpan w:val="7"/>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spacing w:after="0"/>
              <w:rPr>
                <w:sz w:val="19"/>
                <w:szCs w:val="19"/>
                <w:color w:val="auto"/>
              </w:rPr>
            </w:pPr>
          </w:p>
        </w:tc>
        <w:tc>
          <w:tcPr>
            <w:tcW w:w="7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85" w:lineRule="exact"/>
        <w:rPr>
          <w:sz w:val="20"/>
          <w:szCs w:val="20"/>
          <w:color w:val="auto"/>
        </w:rPr>
      </w:pPr>
    </w:p>
    <w:p>
      <w:pPr>
        <w:ind w:left="320" w:hanging="314"/>
        <w:spacing w:after="0" w:line="225"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for each of the reportable segments include marketing and selling expenses, administrative expenses, research and development expenses and expense for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ind w:left="320" w:hanging="314"/>
        <w:spacing w:after="0" w:line="242"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$21 million and $52 million in the three- and six-month periods ended February 1, 2026, and $20 million and $49 million in the three- and six-month periods ended January 26, 2025, respectively. Unrealized mark-to-market adjustments on outstanding undesignated commodity hedges were gains of $16 million and $14 million in the three- and six-month periods ended February 1, 2026, and gains of $14 million and $18 million in the three- and six-month periods ended January 26, 2025, respectively. Litigation expenses related to the Plum baby food and snacks business, which was divested on May 3, 2021, and certain other litigation matters were $1 million and $11 million in the three- and six-month periods ended February 1, 2026, and $1 million and $2 million in the three- and six-month periods ended January 26, 2025, respectively. Costs associated with a pending acquisition were $2 million in the six-month period ended February 1, 2026. Insurance recoveries of $1 million related to a cybersecurity incident were included in the six-month periods ended February 1, 2026 and January 26, 2025, respectively. Accelerated amortization expense related to customer relationship intangible assets was $7 million and $14 million in the three- and six-month periods ended January 26, 2025, respectively. Intangible asset impairment charges were $26 million in the three- and six-month periods ended January 26, 2025. A loss on the sale of our Pop Secret popcorn business of $25 million was included in the six-month period ended January 26, 2025. A postretirement actuarial loss of $2 million was included in the six-month period ended January 26, 2025.</w:t>
      </w:r>
    </w:p>
    <w:p>
      <w:pPr>
        <w:spacing w:after="0" w:line="4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right="4420" w:hanging="314"/>
        <w:spacing w:after="0" w:line="276"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primarily corporate offices and enterprise-wide information technology systems. Our net sales based on product categories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49" w:lineRule="exact"/>
        <w:rPr>
          <w:sz w:val="20"/>
          <w:szCs w:val="20"/>
          <w:color w:val="auto"/>
        </w:rPr>
      </w:pPr>
    </w:p>
    <w:p>
      <w:pPr>
        <w:ind w:right="4800" w:firstLine="6"/>
        <w:spacing w:after="0" w:line="346" w:lineRule="auto"/>
        <w:tabs>
          <w:tab w:leader="none" w:pos="17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Charges, Cost Savings Initiatives and Other Optimization Initiatives </w:t>
      </w:r>
      <w:r>
        <w:rPr>
          <w:rFonts w:ascii="Times New Roman" w:cs="Times New Roman" w:eastAsia="Times New Roman" w:hAnsi="Times New Roman"/>
          <w:sz w:val="18"/>
          <w:szCs w:val="18"/>
          <w:b w:val="1"/>
          <w:bCs w:val="1"/>
          <w:i w:val="1"/>
          <w:iCs w:val="1"/>
          <w:color w:val="auto"/>
        </w:rPr>
        <w:t>2025 Cost Savings Initiatives</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Cost estimates for the 2025 initiatives, as well as timing for certain activities, are continuing to be developed.</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vMerge w:val="restart"/>
          </w:tcPr>
          <w:p>
            <w:pPr>
              <w:jc w:val="right"/>
              <w:ind w:right="156"/>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6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60" w:type="dxa"/>
            <w:vAlign w:val="bottom"/>
          </w:tcPr>
          <w:p>
            <w:pPr>
              <w:spacing w:after="0"/>
              <w:rPr>
                <w:sz w:val="9"/>
                <w:szCs w:val="9"/>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80" w:type="dxa"/>
            <w:vAlign w:val="bottom"/>
          </w:tcPr>
          <w:p>
            <w:pPr>
              <w:spacing w:after="0"/>
              <w:rPr>
                <w:sz w:val="9"/>
                <w:szCs w:val="9"/>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A summary of the cumulative pre-tax costs associated with the initiatives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3"/>
                <w:szCs w:val="13"/>
                <w:color w:val="auto"/>
              </w:rPr>
            </w:pPr>
          </w:p>
        </w:tc>
        <w:tc>
          <w:tcPr>
            <w:tcW w:w="13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9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$245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$35 million in severance pay and benefits; approximately $55 million in asset impairment and accelerated depreciation; and approximately $155 million in implementation costs and other related costs. We expect these pre-tax costs to be associated with our segments as follows: Meals &amp; Beverages - approximately 56%; Snacks - approximately 23% and Corporate - approximately 21%.</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$245 million of pre-tax costs identified to date, we expect approximately $185 million will be cash expenditures. In addition, we expect to invest approximately $215 million in capital expenditures, of which we invested $187 million as of February 1, 2026.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9"/>
        </w:trPr>
        <w:tc>
          <w:tcPr>
            <w:tcW w:w="5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(4)</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Accrued balance at August 3, 2025</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2026 charges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2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2026 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Accrued balance at February 1, 2026</w:t>
            </w:r>
            <w:r>
              <w:rPr>
                <w:rFonts w:ascii="Times New Roman" w:cs="Times New Roman" w:eastAsia="Times New Roman" w:hAnsi="Times New Roman"/>
                <w:sz w:val="22"/>
                <w:szCs w:val="22"/>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30"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$14 million of severance pay and benefits recorded in Other liabilities in the Consolidated Balance Sheet.</w:t>
      </w:r>
    </w:p>
    <w:p>
      <w:pPr>
        <w:ind w:left="320" w:hanging="314"/>
        <w:spacing w:after="0" w:line="191"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8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1"/>
                <w:szCs w:val="11"/>
                <w:color w:val="auto"/>
              </w:rPr>
            </w:pPr>
          </w:p>
        </w:tc>
        <w:tc>
          <w:tcPr>
            <w:tcW w:w="126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1"/>
        </w:trPr>
        <w:tc>
          <w:tcPr>
            <w:tcW w:w="6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the third quarter of 2026, we commenced a voluntary early retirement program as part of our cost savings initiatives. The program is available to certain salaried employees who meet age and length-of-service criteria. We currently do not know which employees will elect to participate and therefore are unable to estimate the costs of the program, although we expect these costs to consist primarily of severance pay and benefits, including enhanced pension benefits. We will provide an estimate of the costs expected to be incurred as the program is executed.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February 1, 2026, we incurred $2 million in Marketing and selling expenses related to this initiative. In the six-month periods ended February 1, 2026 and January 26, 2025, we incurred $18 million and $8 million in Marketing and selling expenses related to this initiative, respectively. As of February 1, 2026, we have incurred $43 million in Marketing and selling expenses and $1 million in Administrative expenses related to this initiative.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February 1, 2026 excludes approximately 1 million stock options that would have been antidilutive. The earnings per share calculation for the three- and six-month periods ended January 26, 2025 excludes less than 1 million stock options that would have been antidilutive.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Benefits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25"/>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Expected return on plan</w:t>
            </w:r>
          </w:p>
        </w:tc>
        <w:tc>
          <w:tcPr>
            <w:tcW w:w="4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0"/>
        </w:trPr>
        <w:tc>
          <w:tcPr>
            <w:tcW w:w="190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Net periodic benefit</w:t>
            </w:r>
          </w:p>
        </w:tc>
        <w:tc>
          <w:tcPr>
            <w:tcW w:w="4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1900" w:type="dxa"/>
            <w:vAlign w:val="bottom"/>
            <w:tcBorders>
              <w:bottom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 (income)</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actuarial loss for the six-month period ended January 26, 2025 was due to the remeasurement of our postretirement plan in the first quarter due to a plan amendment. The actuarial loss was primarily due to a decrease in the discount rate used to determine the benefit obligation.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2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48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84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1"/>
                <w:szCs w:val="11"/>
                <w:color w:val="auto"/>
              </w:rPr>
            </w:pPr>
          </w:p>
        </w:tc>
        <w:tc>
          <w:tcPr>
            <w:tcW w:w="1000" w:type="dxa"/>
            <w:vAlign w:val="bottom"/>
          </w:tcPr>
          <w:p>
            <w:pPr>
              <w:jc w:val="center"/>
              <w:ind w:right="119"/>
              <w:spacing w:after="0" w:line="128"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3840" w:type="dxa"/>
            <w:vAlign w:val="bottom"/>
            <w:tcBorders>
              <w:bottom w:val="single" w:sz="8" w:color="auto"/>
            </w:tcBorders>
            <w:gridSpan w:val="3"/>
          </w:tcPr>
          <w:p>
            <w:pPr>
              <w:ind w:left="24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1"/>
                <w:szCs w:val="11"/>
                <w:color w:val="auto"/>
              </w:rPr>
            </w:pPr>
          </w:p>
        </w:tc>
        <w:tc>
          <w:tcPr>
            <w:tcW w:w="1000" w:type="dxa"/>
            <w:vAlign w:val="bottom"/>
          </w:tcPr>
          <w:p>
            <w:pPr>
              <w:jc w:val="center"/>
              <w:ind w:right="119"/>
              <w:spacing w:after="0" w:line="134"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5"/>
        </w:trPr>
        <w:tc>
          <w:tcPr>
            <w:tcW w:w="8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3"/>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0"/>
                <w:szCs w:val="20"/>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Long-term Debt</w:t>
      </w:r>
    </w:p>
    <w:p>
      <w:pPr>
        <w:spacing w:after="0" w:line="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December 15, 2025, pursuant to the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a portion of the proceeds from the issuance of the notes to repay a portion of our outstanding commercial paper and plan to use the remaining proceeds to repay existing indebtedness and for general corporate purposes. We have $400 million aggregate principal amount of senior notes maturing in March 2026 that we expect to repay using available resources, which may include cash on hand, commercial paper and/or our revolving credit facility.</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second quarter of 2026, we entered into fixed-to-floating interest rate swaps with a notional amount of $600 million as of February 1, 2026. The instruments effectively convert a portion of our $800 million 4.75% Notes due March 23, 2035 from fixed-rate to variable-rate debt with interest based on the Secured Overnight Financing Rate (SOFR) plus a margin. See Note 13 for additional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February 1, 2026, or August 3, 2025.</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2025, our largest customer accounted for approximately 21%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2025.</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$192 million as of February 1, 2026, and $183 million as of August 3, 2025.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$167 million as of February 1, 2026, and $413 million as of August 3,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w:t>
      </w:r>
    </w:p>
    <w:p>
      <w:pPr>
        <w:spacing w:after="0" w:line="4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amount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February 1, 2026 and August 3, 2025.</w:t>
      </w:r>
    </w:p>
    <w:p>
      <w:pPr>
        <w:spacing w:after="0" w:line="7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2026, we entered into fixed-to-floating interest rate swaps to hedge changes in the fair value of a portion of our previously issued senior unsecured notes attributable to the change in the benchmark interest rate. The notional amount of fixed-to-floating interest rate swaps was $600 million as of February 1, 2026. The instruments effectively convert a portion of our $800 million 4.75% Notes due March 23, 2035 from fixed-rate to variable-rate debt with interest based on SOFR plus a margin. The fixed-to-floating interest rate swaps are designated as fair-value hedges. Changes in the fair value of these instruments are recorded in Interest expense along with the offsetting changes in the fair value of the related hedged portion of long-term debt. There were no fixed-to-floating interest rate swaps outstanding as of August 3,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cocoa, aluminum, soybean meal and corn. Commodity futures, options and swap contracts are either designated as cash-flow hedging instruments or are undesignated. We hedge a portion of commodity requirements for periods typically up to 18 months. There were no commodity contracts designated as cash-flow hedges as of February 1, 2026, or August 3, 2025. The notional amount of commodity contracts not designated as accounting hedges was $156 million as of February 1, 2026, and $184 million as of August 3, 2025. The change in fair value on undesignated instruments is recorded in Cost of products sold.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7" w:name="page18"/>
    <w:bookmarkEnd w:id="17"/>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$79 million as of February 1, 2026, and $49 million as of August 3, 2025.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$76 million as of February 1, 2026, and August 3, 2025.</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a gross basis as recorded in the Consolidated Balance Sheets: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Fixed-to-floating interest rate swaps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February 1, 2026, and August 3, 2025,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A cash margin asset balance of $3 million at February 1, 2026, and 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spacing w:after="0" w:line="274" w:lineRule="auto"/>
        <w:rPr>
          <w:sz w:val="20"/>
          <w:szCs w:val="20"/>
          <w:color w:val="auto"/>
        </w:rPr>
      </w:pPr>
      <w:r>
        <w:rPr>
          <w:rFonts w:ascii="Times New Roman" w:cs="Times New Roman" w:eastAsia="Times New Roman" w:hAnsi="Times New Roman"/>
          <w:sz w:val="18"/>
          <w:szCs w:val="18"/>
          <w:color w:val="auto"/>
        </w:rPr>
        <w:t>liability balance of less than $1 million at August 3, 2025, were included in Other current assets and Accrued liabilities, respectively, in the Consolidated Balance Sheets.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440" w:type="dxa"/>
            <w:vAlign w:val="bottom"/>
          </w:tcPr>
          <w:p>
            <w:pPr>
              <w:spacing w:after="0"/>
              <w:rPr>
                <w:sz w:val="13"/>
                <w:szCs w:val="13"/>
                <w:color w:val="auto"/>
              </w:rPr>
            </w:pPr>
          </w:p>
        </w:tc>
      </w:tr>
      <w:tr>
        <w:trPr>
          <w:trHeight w:val="190"/>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44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172"/>
        </w:trPr>
        <w:tc>
          <w:tcPr>
            <w:tcW w:w="61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r>
      <w:tr>
        <w:trPr>
          <w:trHeight w:val="40"/>
        </w:trPr>
        <w:tc>
          <w:tcPr>
            <w:tcW w:w="142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5"/>
        </w:trPr>
        <w:tc>
          <w:tcPr>
            <w:tcW w:w="618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25"/>
        </w:trPr>
        <w:tc>
          <w:tcPr>
            <w:tcW w:w="6180" w:type="dxa"/>
            <w:vAlign w:val="bottom"/>
            <w:tcBorders>
              <w:top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tcBorders>
              <w:top w:val="single" w:sz="8" w:color="CCEEFF"/>
            </w:tcBorders>
            <w:gridSpan w:val="2"/>
          </w:tcPr>
          <w:p>
            <w:pPr>
              <w:spacing w:after="0"/>
              <w:rPr>
                <w:sz w:val="19"/>
                <w:szCs w:val="19"/>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1"/>
        </w:trPr>
        <w:tc>
          <w:tcPr>
            <w:tcW w:w="14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195"/>
        </w:trPr>
        <w:tc>
          <w:tcPr>
            <w:tcW w:w="1420" w:type="dxa"/>
            <w:vAlign w:val="bottom"/>
            <w:tcBorders>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76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920" w:type="dxa"/>
            <w:vAlign w:val="bottom"/>
            <w:gridSpan w:val="3"/>
            <w:shd w:val="clear" w:color="auto" w:fill="CCEEFF"/>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$6 million.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in which the effects of derivative instruments designated as cash-flow and fair-value hedges are recorded and the total effect of hedge activity on these line items: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134"/>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1"/>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65"/>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fair-value hedges: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recognized on hedged item in earnings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of loss (gain) on derivative recognized in earnings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134"/>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1"/>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4"/>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3,732</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5"/>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fair-value hedges: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recognized on hedged item in earnings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of loss (gain) on derivative recognized in earnings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location of the amounts recorded in the Consolidated Balance Sheets related to the cumulative fair value basis adjustments for fair-value hedges: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Cumulative Amount of Fair-value</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25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 of Hedged Liabilities</w:t>
            </w:r>
          </w:p>
        </w:tc>
        <w:tc>
          <w:tcPr>
            <w:tcW w:w="120" w:type="dxa"/>
            <w:vAlign w:val="bottom"/>
          </w:tcPr>
          <w:p>
            <w:pPr>
              <w:spacing w:after="0"/>
              <w:rPr>
                <w:sz w:val="12"/>
                <w:szCs w:val="12"/>
                <w:color w:val="auto"/>
              </w:rPr>
            </w:pPr>
          </w:p>
        </w:tc>
        <w:tc>
          <w:tcPr>
            <w:tcW w:w="2380" w:type="dxa"/>
            <w:vAlign w:val="bottom"/>
            <w:gridSpan w:val="4"/>
          </w:tcPr>
          <w:p>
            <w:pPr>
              <w:jc w:val="center"/>
              <w:ind w:right="43"/>
              <w:spacing w:after="0" w:line="144" w:lineRule="exact"/>
              <w:rPr>
                <w:sz w:val="20"/>
                <w:szCs w:val="20"/>
                <w:color w:val="auto"/>
              </w:rPr>
            </w:pPr>
            <w:r>
              <w:rPr>
                <w:rFonts w:ascii="Times New Roman" w:cs="Times New Roman" w:eastAsia="Times New Roman" w:hAnsi="Times New Roman"/>
                <w:sz w:val="14"/>
                <w:szCs w:val="14"/>
                <w:b w:val="1"/>
                <w:bCs w:val="1"/>
                <w:color w:val="auto"/>
              </w:rPr>
              <w:t>Hedging Loss (Gain) Included in the</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3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3"/>
              <w:spacing w:after="0" w:line="134"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1"/>
                <w:szCs w:val="11"/>
                <w:color w:val="auto"/>
              </w:rPr>
            </w:pPr>
          </w:p>
        </w:tc>
        <w:tc>
          <w:tcPr>
            <w:tcW w:w="13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3"/>
              <w:spacing w:after="0" w:line="134"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0" w:type="dxa"/>
            <w:vAlign w:val="bottom"/>
          </w:tcPr>
          <w:p>
            <w:pPr>
              <w:spacing w:after="0"/>
              <w:rPr>
                <w:sz w:val="1"/>
                <w:szCs w:val="1"/>
                <w:color w:val="auto"/>
              </w:rPr>
            </w:pPr>
          </w:p>
        </w:tc>
      </w:tr>
      <w:tr>
        <w:trPr>
          <w:trHeight w:val="191"/>
        </w:trPr>
        <w:tc>
          <w:tcPr>
            <w:tcW w:w="616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1"/>
        </w:trPr>
        <w:tc>
          <w:tcPr>
            <w:tcW w:w="6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4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40" w:type="dxa"/>
            <w:vAlign w:val="bottom"/>
            <w:gridSpan w:val="2"/>
            <w:vMerge w:val="continue"/>
          </w:tcPr>
          <w:p>
            <w:pPr>
              <w:spacing w:after="0"/>
              <w:rPr>
                <w:sz w:val="13"/>
                <w:szCs w:val="13"/>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consistent with the fair value hierarchy: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9"/>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9"/>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w w:val="99"/>
              </w:rPr>
              <w:t>February 1, 2026 Using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6"/>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200" w:type="dxa"/>
            <w:vAlign w:val="bottom"/>
          </w:tcPr>
          <w:p>
            <w:pPr>
              <w:spacing w:after="0"/>
              <w:rPr>
                <w:sz w:val="16"/>
                <w:szCs w:val="16"/>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shd w:val="clear" w:color="auto" w:fill="CCEEFF"/>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76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76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1760" w:type="dxa"/>
            <w:vAlign w:val="bottom"/>
            <w:gridSpan w:val="3"/>
            <w:shd w:val="clear" w:color="auto" w:fill="CCEEFF"/>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6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6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60" w:type="dxa"/>
            <w:vAlign w:val="bottom"/>
            <w:gridSpan w:val="3"/>
          </w:tcPr>
          <w:p>
            <w:pPr>
              <w:ind w:left="100"/>
              <w:spacing w:after="0" w:line="225"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Deferred</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Borders>
              <w:right w:val="single" w:sz="8" w:color="CCEEFF"/>
            </w:tcBorders>
            <w:shd w:val="clear" w:color="auto" w:fill="CCEEFF"/>
          </w:tcPr>
          <w:p>
            <w:pPr>
              <w:spacing w:after="0"/>
              <w:rPr>
                <w:sz w:val="15"/>
                <w:szCs w:val="15"/>
                <w:color w:val="auto"/>
              </w:rPr>
            </w:pPr>
          </w:p>
        </w:tc>
        <w:tc>
          <w:tcPr>
            <w:tcW w:w="1760" w:type="dxa"/>
            <w:vAlign w:val="bottom"/>
            <w:gridSpan w:val="3"/>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4"/>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1760" w:type="dxa"/>
            <w:vAlign w:val="bottom"/>
            <w:gridSpan w:val="3"/>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Total assets at fair value</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9"/>
          </w:tcPr>
          <w:p>
            <w:pPr>
              <w:jc w:val="center"/>
              <w:ind w:right="114"/>
              <w:spacing w:after="0" w:line="135" w:lineRule="exact"/>
              <w:rPr>
                <w:sz w:val="20"/>
                <w:szCs w:val="20"/>
                <w:color w:val="auto"/>
              </w:rPr>
            </w:pPr>
            <w:r>
              <w:rPr>
                <w:rFonts w:ascii="Times New Roman" w:cs="Times New Roman" w:eastAsia="Times New Roman" w:hAnsi="Times New Roman"/>
                <w:sz w:val="14"/>
                <w:szCs w:val="14"/>
                <w:b w:val="1"/>
                <w:bCs w:val="1"/>
                <w:color w:val="auto"/>
              </w:rPr>
              <w:t>February 1, 2026 Using</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6"/>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August 3, 2025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3"/>
            <w:vMerge w:val="restart"/>
          </w:tcPr>
          <w:p>
            <w:pPr>
              <w:jc w:val="center"/>
              <w:ind w:right="32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gridSpan w:val="3"/>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6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CCEEFF"/>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76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Commodity derivative</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76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4"/>
                <w:szCs w:val="14"/>
                <w:color w:val="auto"/>
              </w:rPr>
            </w:pP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76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176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Fixed-to-floating</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CCEEFF"/>
            </w:tcBorders>
          </w:tcPr>
          <w:p>
            <w:pPr>
              <w:spacing w:after="0"/>
              <w:rPr>
                <w:sz w:val="20"/>
                <w:szCs w:val="20"/>
                <w:color w:val="auto"/>
              </w:rPr>
            </w:pPr>
          </w:p>
        </w:tc>
        <w:tc>
          <w:tcPr>
            <w:tcW w:w="1760" w:type="dxa"/>
            <w:vAlign w:val="bottom"/>
            <w:gridSpan w:val="3"/>
            <w:shd w:val="clear" w:color="auto" w:fill="CCEEFF"/>
          </w:tcPr>
          <w:p>
            <w:pPr>
              <w:ind w:left="120"/>
              <w:spacing w:after="0" w:line="239"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2"/>
                <w:szCs w:val="22"/>
                <w:color w:val="auto"/>
                <w:vertAlign w:val="superscript"/>
              </w:rPr>
              <w:t>(5)</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gridSpan w:val="2"/>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60" w:type="dxa"/>
            <w:vAlign w:val="bottom"/>
            <w:gridSpan w:val="3"/>
          </w:tcPr>
          <w:p>
            <w:pPr>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4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equity and fixed income index swap rates.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ind w:left="320" w:hanging="314"/>
        <w:spacing w:after="0" w:line="191"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SOFR swap rates.</w:t>
      </w:r>
    </w:p>
    <w:p>
      <w:pPr>
        <w:spacing w:after="0" w:line="74"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400" w:type="dxa"/>
            <w:vAlign w:val="bottom"/>
          </w:tcPr>
          <w:p>
            <w:pPr>
              <w:spacing w:after="0"/>
              <w:rPr>
                <w:sz w:val="19"/>
                <w:szCs w:val="19"/>
                <w:color w:val="auto"/>
              </w:rPr>
            </w:pPr>
          </w:p>
        </w:tc>
        <w:tc>
          <w:tcPr>
            <w:tcW w:w="800" w:type="dxa"/>
            <w:vAlign w:val="bottom"/>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5"/>
              </w:rPr>
              <w:t>(5)</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 Cash equivalents represent fair value as these highly liquid investments have an original maturity of three months or less. There were $83 million of cash equivalents with fair value based on Level 2 inputs at February 1, 2026. There were no cash equivalents with fair value based on Level 2 inputs at August 3, 2025.</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$6.751 billion at February 1, 2026, and $6.545 billion at August 3, 2025. The carrying value was $7.075 billion at February 1, 2026, and $6.857 billion at August 3, 2025.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six-month periods ended February 1, 2026 and January 26, 2025, we repurchased 805 thousand shares at a cost of $26 million and 1.134 million shares at a cost of $56 million, respectively, pursuant to our anti-dilutive share repurchase programs. As of February 1, 2026, approximately $172 million remained available under the September 2024 program and approximately $301 million remained available under the September 2021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performance restricted stock units subject to a relative total shareholder return (TSR) modifier, performance restricted stock units and TSR performance restricted stock units. In 2026, we issued time-lapse restricted stock units, unrestricted stock, and performance restricted stock units subject to a TSR modifier. We last issued TSR performance restricted stock units and performance restricted stock units in 2025 and stock options in 2019.</w:t>
      </w:r>
    </w:p>
    <w:p>
      <w:pPr>
        <w:spacing w:after="0" w:line="6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connection with the Sovos Brands acquisition, in the third quarter of 2024, we issued time-lapse restricted stock units (Replacement units) in exchange for certain Sovos Brands restricted stock units and performance restricted stock units. The Replacement units were subject to the same terms and conditions of the original Sovos Brands restricted stock units and performance restricted stock units. Certain Replacement units were subject to accelerated vesting.</w:t>
      </w:r>
    </w:p>
    <w:p>
      <w:pPr>
        <w:spacing w:after="0" w:line="4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52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3,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50.21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1,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February 1, 2026</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44.84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six-month period ended January 26, 2025.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February 1,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2022 through 2025, we granted performance restricted stock units that will be earned upon the achievement of our EPS compound annual growth rate goal, measured over a three-year period. The actual number of the performance restricted stock units issued at the vesting date could range from 0% to 200% of the initial grant depending on performance achieved. The fair value of the performance restricted stock units was based upon the quoted price of our stock at the date of grant. We expense performance restricted stock units on a straight-line basis over the service period, except for awards issued to retirement-eligible participants, which we expense on an accelerated basis. We estimate expense based on the number of awards expected to vest. In the first quarter of 2026, recipients of the performance restricted stock units earned 48% of the initial grants based upon performance achieved during a three-year period ended August 3, 2025. In the first quarter of 2025, recipients of the performance restricted stock units earned 100% of the initial grants based upon performance achieved during a three-year period ended July 28, 2024. There were 528 thousand of the performance target grants outstanding at February 1, 2026, with a weighted-average grant-date fair value of $44.30.</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February 1, 2026, total remaining unearned compensation related to nonvested time-lapse restricted stock units and performance restricted stock units was $62 million, which will be amortized over the weighted-average remaining service period of 2.0 years. The fair value of time-lapse and performance restricted stock units vested during the six-month periods ended February 1, 2026, and January 26, 2025, was $33 million and $63 million, respectively. The weighted-average grant-date fair value of the time-lapse and performance restricted stock units granted during the six-month period ended January 26, 2025 was $48.34.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The following table summarizes performance restricted stock units subject to a TSR modifier and TSR performance restricted stock units activity: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164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3,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February 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estimated the fair value of performance restricted stock units subject to a TSR modifier and TSR performance restricted stock units at the grant date using a Monte Carlo simulation.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for grants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6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4"/>
        </w:trPr>
        <w:tc>
          <w:tcPr>
            <w:tcW w:w="86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86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February 1, 2026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4.77%</w:t>
            </w: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23.70%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22.46%</w:t>
            </w: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2026, we granted performance restricted stock units that will be earned upon the achievement of our annual EPS and organic net sales growth rate goals during a three-year period subject to a relative TSR modifier. The number of units earned based upon the achievement of each growth rate goal may be further increased or reduced based upon our TSR ranking during a three-year period compared to the respective TSR of companies in a performance peer group. The actual number of performance restricted stock units subject to a TSR modifier ultimately issued at the vesting date could range from 0% to 250% of the initial grant depending on performance achieved.</w:t>
      </w:r>
    </w:p>
    <w:p>
      <w:pPr>
        <w:spacing w:after="0" w:line="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expense performance restricted stock units subject to a TSR modifier and TSR performance restricted stock units on a straight-line basis over the service period, except for awards issued to retirement eligible participants, which we expense on an accelerated basis. As of February 1, 2026, total remaining unearned compensation related to performance restricted stock units subject to a TSR modifier and TSR performance restricted stock units was $27 million, which will be amortized over the weighted-average remaining service period of 2.1 years. In the first quarter of 2026, recipients of TSR performance restricted stock units earned 50% of the initial grants based upon our TSR ranking in a performance peer group during a three-year period ended August 1, 2025.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The fair value of TSR performance restricted stock units vested during the six-month periods ended February 1, 2026, and January 26, 2025, was $4 million and $23 million, respectively. The grant-date fair value of the TSR performance restricted stock units granted during the six-month period ended January 26, 2025, was $47.33.</w:t>
      </w:r>
    </w:p>
    <w:p>
      <w:pPr>
        <w:spacing w:after="0" w:line="136" w:lineRule="exact"/>
        <w:rPr>
          <w:sz w:val="20"/>
          <w:szCs w:val="20"/>
          <w:color w:val="auto"/>
        </w:rPr>
      </w:pPr>
    </w:p>
    <w:p>
      <w:pPr>
        <w:ind w:right="8460" w:firstLine="6"/>
        <w:spacing w:after="0" w:line="367" w:lineRule="auto"/>
        <w:tabs>
          <w:tab w:leader="none" w:pos="26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18"/>
          <w:szCs w:val="18"/>
          <w:color w:val="auto"/>
        </w:rPr>
        <w:t>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32"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February 1, 2026.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February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$254 million at February 1, 2026 and $240 million at August 3,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20" w:type="dxa"/>
            <w:vAlign w:val="bottom"/>
          </w:tcPr>
          <w:p>
            <w:pPr>
              <w:spacing w:after="0"/>
              <w:rPr>
                <w:sz w:val="13"/>
                <w:szCs w:val="13"/>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1"/>
        </w:trPr>
        <w:tc>
          <w:tcPr>
            <w:tcW w:w="422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4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5"/>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4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71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42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the second quarter of 2025, we recognized an impairment charge of $15 million on our Allied brands trademarks and an impairment charge of $11 million on our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w:t>
      </w:r>
    </w:p>
    <w:p>
      <w:pPr>
        <w:spacing w:after="0" w:line="35" w:lineRule="exact"/>
        <w:rPr>
          <w:rFonts w:ascii="Times New Roman" w:cs="Times New Roman" w:eastAsia="Times New Roman" w:hAnsi="Times New Roman"/>
          <w:sz w:val="23"/>
          <w:szCs w:val="23"/>
          <w:color w:val="auto"/>
          <w:vertAlign w:val="superscript"/>
        </w:rPr>
      </w:pPr>
    </w:p>
    <w:p>
      <w:pPr>
        <w:ind w:left="320" w:hanging="314"/>
        <w:spacing w:after="0" w:line="225" w:lineRule="auto"/>
        <w:tabs>
          <w:tab w:leader="none" w:pos="30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$7 million and $14 million in the three- and six-month periods ended January 26, 2025.</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3, 2025,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On February 24, 2025, we completed the sale of our noosa yoghurt business. For additional information on the divestitures, see Note 4 to the Consolidated Financial Statements.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Through the fourth quarter of 2025, the snacking and meals and beverages retail business in Latin America was managed under our Snacks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2026, the business is managed under our Meals &amp; Beverages segment. Segment results have been adjusted retrospectively to reflect this change.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December 8, 2025, we entered into purchase agreements to acquire 49% of the issued and outstanding equity interests of La Regina di San Marzano di Antonio Romano S.p.A. (La Regina SPA) and La Regina Atlantica, LLC (La Regina Atlantica, and together with La Regina SPA, La Regina). La Regina currently produces all of our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tomato-based pasta sauces. The aggregate consideration for the transaction is $286 million to be paid in two tranches. The remaining 51% of the outstanding equity interests of La Regina are subject to a call option granted to us and a put option granted to La Regina. The transaction is subject to certain customary closing conditions. For additional information on this pending transaction, see our Form 8-K filed with the U.S. Securities and Exchange Commission on December 9, 2025, and Note 3 to the Consolidated Financial Statements.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0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industry continues to navigate a dynamic operating and regulatory environment driven by commodity cost volatility, supply chain pressures, tariffs and shifting global trade policies, evolving consumer purchasing and spending patterns and other economic uncertainties. Through the second quarter, we experienced elevated input cost inflation, impacts from tariffs and other supply chain costs. We anticipate continued supply chain productivity, benefits from cost savings initiatives and tariff mitigation efforts to offset some of these costs, and we expect inflationary pressures to moderate throughout 2026. We expect consumer trends to continue to evolve and our volumes to improve over time; however, shifting consumer behaviors may continue to negatively impact our volumes throughout 2026. On February 28, 2026, a military conflict commenced in the Middle East involving the United States, Israel and Iran. Although we have no operations in the Middle East, the ongoing geopolitical conflicts in the region could lead to significant disruption of energy supplies and increases in global energy prices, which could heighten inflationary pressures, disrupt global supply chains and adversely impact consumer spending patterns. We will continue to evaluate the evolving macroeconomic environment and take actions to mitigate the impact on our business, consolidated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5% in the quarter to $2.564 billion primarily due to unfavorable volume/mix and the impact of divestiture with neutral net price realization. Net sales were impacted by an approximate 1% headwind as a result of storm-related shipment delays in January.</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28.0% in 2026 compared to 30.5% in the prior-year quarter. The decrease was primarily due to the impact of cost inflation and other supply chain costs, the gross impact of tariffs and unfavorable volume/mix, partially offset by benefits from supply chain productivity improvements and favorable net price realization.</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$.48 in 2026, compared to $.58 in the prior-year quarter. The current quarter included expenses of $.02 per share and the prior-year quarter included expenses of $.16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second quarter of 2026, we recorded Restructuring charges of $3 million and implementation costs and other related costs of $9 million in Cost of products sold, $7 million in Administrative expenses, $2 million in Marketing and selling expenses and $1 million in Research and development expenses related to these initiatives. In the second quarter of 2025, we recorded Restructuring charges of $5 million and implementation costs and other related costs of $10 million in Cost of products sold, $8 million in Administrative expenses, $1 million in Marketing and selling expenses and $1 million in Research and development expenses related to these initiatives. Year-to-date in 2026, we recorded Restructuring charges of $6 million and implementation costs and other related costs of $16 million in Cost of products sold, $15 million in Administrative expenses, $2 million in Marketing and selling expenses and $1 million in Research and development expenses related to these initiatives. Year-to-date in 2025, we recorded Restructuring charges of $11 million and implementation costs and other related costs of $19 million in Administrative expenses, $18 million in Cost of products sold, $2 million in Marketing and selling expenses and $2 million in Research and development expenses related to these initiatives.</w:t>
      </w:r>
    </w:p>
    <w:p>
      <w:pPr>
        <w:spacing w:after="0" w:line="73"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In the second quarter of 2026, we recognized $2 million in Marketing and selling expenses related to this initiative. Year-to-date in 2026, we recognized $18 million in Marketing and selling expenses related to this initiative. Year-to-date in 2025, we recognized $8 million in Marketing and selling expenses related to this initiative.</w:t>
      </w:r>
    </w:p>
    <w:p>
      <w:pPr>
        <w:spacing w:after="0" w:line="47"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the total aggregate impact related to the cost savings and optimization initiatives was $24 million ($18 million after tax, or $.06 per share). In the second quarter of 2025, the total aggregate impact related to the cost savings and optimization initiatives was $25 million ($19 million after tax, or $.06 per share). Year-to-date in 2026, the total aggregate impact related to the cost savings and optimization initiatives was $58 million ($44 million after tax, or $.15 per share). Year-to-date in 2025, the total aggregate impact related to the cost savings and optimization initiatives was $60 million ($46 million after tax, or $.15 per share). See Note 8 to the Consolidated Financial Statements and "Restructuring Charges, Cost Savings Initiatives and Other Optimization Initiatives" for additional information;</w:t>
      </w:r>
    </w:p>
    <w:p>
      <w:pPr>
        <w:spacing w:after="0" w:line="65"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we recognized gains in Cost of products sold of $16 million ($12 million after tax, or $.04 per share) associated with unrealized mark-to-market adjustments on outstanding undesignated commodity hedges. In the second quarter of 2025, we recognized gains in Cost of products sold of $14 million ($10 million after tax, or $.03 per share) associated with unrealized mark-to-market adjustments on outstanding undesignated commodity hedges. Year-to-date in 2026, we recognized gains in Cost of products sold of $14 million ($10 million after tax, or $.03 per share) associated with unrealized mark-to-market adjustments on outstanding undesignated commodity hedges. Year-to-date in 2025, we recognized gains in Cost of products sold of $18 million ($13 million after tax, or $.04 per share) associated with unrealized mark-to-market adjustments on outstanding undesignated commodity hedges;</w:t>
      </w:r>
    </w:p>
    <w:p>
      <w:pPr>
        <w:spacing w:after="0" w:line="67"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we recorded litigation expenses in Administrative expenses of $1 million ($1 million after tax) related to the Plum baby food and snacks business (Plum), which was divested on May 3, 2021, and certain other litigation matters. In the second quarter of 2025, we recorded litigation expenses in Administrative expenses of $1 million ($1 million after tax) related to Plum and certain other litigation matters. Year-to-date in 2026, we recorded litigation expenses in Administrative expenses of $11 million ($8 million after tax, or $.03 per share) related to Plum and certain other litigation matters. Year-to-date in 2025, we recorded litigation expenses in Administrative expenses of $2 million ($2 million after tax, or $.01 per share) related to Plum and certain other litigation matters;</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2026, we entered into purchase agreements to acquire 49% of the issued and outstanding equity interests of La Regina. The acquisition is subject to certain customary conditions. Year-to-date in 2026, we recognized costs associated with the pending acquisition in Other expenses / (income) of $2 million ($2 million after tax, or $.01 per share);</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2026 and 2025, we recognized insurance recoveries in Administrative expenses of $1 million ($1 million after tax) related to a cybersecurity incident that was identified in the fourth quarter of 2023;</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and recognized an impairment charge of $15 million on the trademarks.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ind w:left="640"/>
        <w:spacing w:after="0" w:line="276" w:lineRule="auto"/>
        <w:rPr>
          <w:sz w:val="20"/>
          <w:szCs w:val="20"/>
          <w:color w:val="auto"/>
        </w:rPr>
      </w:pPr>
      <w:r>
        <w:rPr>
          <w:rFonts w:ascii="Times New Roman" w:cs="Times New Roman" w:eastAsia="Times New Roman" w:hAnsi="Times New Roman"/>
          <w:sz w:val="18"/>
          <w:szCs w:val="18"/>
          <w:color w:val="auto"/>
        </w:rPr>
        <w:t xml:space="preserve">In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and recognized an impairment charge of $11 million on the trademark.</w:t>
      </w:r>
    </w:p>
    <w:p>
      <w:pPr>
        <w:spacing w:after="0" w:line="29" w:lineRule="exact"/>
        <w:rPr>
          <w:sz w:val="20"/>
          <w:szCs w:val="20"/>
          <w:color w:val="auto"/>
        </w:rPr>
      </w:pPr>
    </w:p>
    <w:p>
      <w:pPr>
        <w:ind w:left="640" w:right="600"/>
        <w:spacing w:after="0" w:line="353" w:lineRule="auto"/>
        <w:rPr>
          <w:sz w:val="20"/>
          <w:szCs w:val="20"/>
          <w:color w:val="auto"/>
        </w:rPr>
      </w:pPr>
      <w:r>
        <w:rPr>
          <w:rFonts w:ascii="Times New Roman" w:cs="Times New Roman" w:eastAsia="Times New Roman" w:hAnsi="Times New Roman"/>
          <w:sz w:val="18"/>
          <w:szCs w:val="18"/>
          <w:color w:val="auto"/>
        </w:rPr>
        <w:t>In the second quarter of 2025, the total aggregate impact of the impairment charges was $26 million ($19 million after tax, or $.06 per share). The charges were included in Other expenses / (income);</w:t>
      </w:r>
    </w:p>
    <w:p>
      <w:pPr>
        <w:spacing w:after="0" w:line="1" w:lineRule="exact"/>
        <w:rPr>
          <w:sz w:val="20"/>
          <w:szCs w:val="20"/>
          <w:color w:val="auto"/>
        </w:rPr>
      </w:pPr>
    </w:p>
    <w:p>
      <w:pPr>
        <w:jc w:val="both"/>
        <w:ind w:left="640" w:hanging="316"/>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recorded $15 million ($.05 per share) of deferred tax expense related to the sale of the noosa yoghurt business, which was completed on February 24, 2025. In the first quarter of 2025, we recorded a loss in Other expenses / (income) of $25 million ($19 million after tax, or $.06 per share) on the sale of our Pop Secret popcorn business. Year-to-date in 2025, the total aggregate impact of charges associated with divestitures was $25 million ($34 million after tax, or $.11 per share);</w:t>
      </w:r>
    </w:p>
    <w:p>
      <w:pPr>
        <w:spacing w:after="0" w:line="4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recorded accelerated amortization expense in Other expenses / (income) of $7 million ($5 million after tax, or $.02 per share) related to customer relationship intangible assets due to the loss of certain contract manufacturing customers, which began in the fourth quarter of 2023. Year-to-date in 2025, we recorded accelerated amortization expense in Other expenses / (income) of $14 million ($10 million after tax, or $.03 per share); and</w:t>
      </w:r>
    </w:p>
    <w:p>
      <w:pPr>
        <w:spacing w:after="0" w:line="6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we recognized an actuarial loss in Other expenses / (income) of $2 million ($1 million after tax) related to an interim remeasurement of our postretirement plan due to a plan amendment.</w:t>
      </w:r>
    </w:p>
    <w:p>
      <w:pPr>
        <w:sectPr>
          <w:pgSz w:w="11900" w:h="16838" w:orient="portrait"/>
          <w:cols w:equalWidth="0" w:num="1">
            <w:col w:w="11240"/>
          </w:cols>
          <w:pgMar w:left="320" w:top="967" w:right="339" w:bottom="1440" w:gutter="0" w:footer="0" w:header="0"/>
        </w:sectPr>
      </w:pP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68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Costs associated with cost savings and optimization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34860"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Commodity mark-to-market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Accelerated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161"/>
        </w:trPr>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8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51"/>
        </w:trPr>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18"/>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2"/>
        </w:trPr>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2"/>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174"/>
        </w:trPr>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6"/>
                <w:szCs w:val="16"/>
                <w:color w:val="auto"/>
              </w:rPr>
            </w:pPr>
          </w:p>
        </w:tc>
        <w:tc>
          <w:tcPr>
            <w:tcW w:w="8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Impact</w:t>
            </w:r>
          </w:p>
        </w:tc>
      </w:tr>
    </w:tbl>
    <w:p>
      <w:pPr>
        <w:spacing w:after="0" w:line="18" w:lineRule="exact"/>
        <w:rPr>
          <w:sz w:val="20"/>
          <w:szCs w:val="20"/>
          <w:color w:val="auto"/>
        </w:rPr>
      </w:pPr>
    </w:p>
    <w:p>
      <w:pPr>
        <w:sectPr>
          <w:pgSz w:w="11900" w:h="16838" w:orient="portrait"/>
          <w:cols w:equalWidth="0" w:num="2">
            <w:col w:w="6220" w:space="720"/>
            <w:col w:w="4300"/>
          </w:cols>
          <w:pgMar w:left="320" w:top="96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9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23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w:t>
            </w:r>
          </w:p>
        </w:tc>
        <w:tc>
          <w:tcPr>
            <w:tcW w:w="1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actuarial losses</w:t>
            </w:r>
          </w:p>
        </w:tc>
        <w:tc>
          <w:tcPr>
            <w:tcW w:w="1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9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960" w:type="dxa"/>
            <w:vAlign w:val="bottom"/>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9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9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earnings attributable to The Campbell's Company were $145 million ($.48 per share) in the current quarter, compared to $173 million ($.58 per share) in the year-ago quarter. After adjusting for items impacting comparability, earnings decreased primarily due to lower gross profit, partially offset by lower marketing and selling expenses and lower administrative expenses. The estimated net impact of tariffs was approximately $.06 per share in the current quarter. The estimated net impact of January storm-related shipment delays and incremental supply chain costs was approximately $.04 per share in the current quarter. The negative impact from the divestiture was approximately $.01 per share in the current quarter.</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earnings attributable to The Campbell's Company were $339 million ($1.13 per share) in the six-month period this year, compared to $391 million ($1.30 per share) in the year-ago period. After adjusting for items impacting comparability, earnings decreased primarily due to lower gross profit, partially offset by lower administrative expenses and lower marketing and selling expenses. The estimated net impact of tariffs was approximately $.10 per share in the current period. The estimated net impact of January storm-related shipment delays and incremental supply chain costs was approximately $.04 per share in the current period. The negative impact from divestitures was approximately $.02 per share in the current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20" w:type="dxa"/>
            <w:vAlign w:val="bottom"/>
            <w:tcBorders>
              <w:bottom w:val="single" w:sz="8" w:color="CCEEFF"/>
            </w:tcBorders>
            <w:gridSpan w:val="4"/>
          </w:tcPr>
          <w:p>
            <w:pPr>
              <w:jc w:val="right"/>
              <w:ind w:right="27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20" w:type="dxa"/>
            <w:vAlign w:val="bottom"/>
            <w:tcBorders>
              <w:bottom w:val="single" w:sz="8" w:color="CCEEFF"/>
            </w:tcBorders>
            <w:gridSpan w:val="4"/>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7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8"/>
                <w:szCs w:val="18"/>
                <w:color w:val="auto"/>
                <w:w w:val="99"/>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w w:val="99"/>
              </w:rPr>
              <w:t>(6)%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decreased 4%. Excluding the impact from the divestiture of the noosa yoghurt business, sales decreased primarily due to declines in U.S. soup,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foodservice and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partially offset by gains in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Unfavorable volume/mix was partially offset by favorable net price realization. Sales were impacted by an approximate 1% headwind as a result of storm-related shipment delays in January. Sales of U.S. soup decreased 4% with decreases in condensed soups, ready-to-serve soups and broth.</w:t>
      </w:r>
    </w:p>
    <w:p>
      <w:pPr>
        <w:spacing w:after="0" w:line="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sales decreased 6% primarily due to declines in chips and pretzels, fresh bakery related to supply constraints, and third-party partner brands and contract manufacturing. Sales were impacted by volume/mix declines, with neutral net price realization.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$102 million in 2026 from 2025. As a percent of sales, gross profit declined to 28.0% in 2026 from 30.5% in 2025, due in part to the negative impact of tariffs.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color w:val="auto"/>
        </w:rPr>
        <w:t>The 250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(500)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270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costs associated with cost savings initiatives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9"/>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63" w:lineRule="exact"/>
        <w:rPr>
          <w:sz w:val="20"/>
          <w:szCs w:val="20"/>
          <w:color w:val="auto"/>
        </w:rPr>
      </w:pPr>
    </w:p>
    <w:p>
      <w:pPr>
        <w:jc w:val="both"/>
        <w:ind w:left="320" w:hanging="314"/>
        <w:spacing w:after="0" w:line="231"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negative margin impact of 230 basis points from the gross impact of tariffs, partially offset by an estimated positive margin impact of 30 basis points from the benefit of cost savings initiatives and a positive margin impact of 10 basis points from the change in unrealized mark-to-market adjustments on outstanding undesignated commodity hedges.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9.8% in 2026 compared to 9.5% in 2025. Marketing and selling expenses decreased 2% in 2026 from 2025. The decrease was primarily due to lower selling expenses (approximately 2 points) and increased benefits from cost savings initiatives (approximately 1 point), partially offset by higher costs associated with costs savings and optimization initiatives (approximately 1 point).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6.2% in 2026 compared to 6.1% in 2025. Administrative expenses decreased 3% in 2026 from 2025. The decrease was primarily due to increased benefits from cost savings initiatives (approximately 5 points) and lower costs associated with cost savings initiatives (approximately 1 point), partially offset by higher benefit-related costs (approximately 2 points) and inflation (approximately 1 point).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Other expenses were $7 million in 2026 compared to $41 million in 2025. Other expenses in 2025 included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 of $26 million and accelerated amortization expense of $7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21% in 2026 from 2025.</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(15)</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(39)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3"/>
              </w:rPr>
              <w:t>(21)</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Operating earnings from Meals &amp; Beverages decreased 15%. The decrease was primarily due to lower gross profit and the impact of the divestiture, partially offset by lower marketing and selling expenses. Gross profit margin decreased primarily due to the gross impact of tariffs, cost inflation and other supply chain costs and unfavorable volume/mix, partially offset by supply chain productivity improvements, favorable net price realization and benefits from cost savings initiatives.</w:t>
      </w:r>
    </w:p>
    <w:p>
      <w:pPr>
        <w:spacing w:after="0" w:line="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39%. The decrease was primarily due to lower gross profit. Gross profit margin decreased primarily due to cost inflation and other supply chain costs, the gross impact of tariffs and unfavorable volume/mix, partially offset by supply chain productivity improvements and benefits from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Corporate expense in 2026 included the following:</w:t>
      </w:r>
    </w:p>
    <w:p>
      <w:pPr>
        <w:spacing w:after="0" w:line="85" w:lineRule="exact"/>
        <w:rPr>
          <w:sz w:val="20"/>
          <w:szCs w:val="20"/>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$21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certain litigation expenses, including expenses related to Plum; and</w:t>
      </w:r>
    </w:p>
    <w:p>
      <w:pPr>
        <w:spacing w:after="0" w:line="97" w:lineRule="exact"/>
        <w:rPr>
          <w:rFonts w:ascii="Times New Roman" w:cs="Times New Roman" w:eastAsia="Times New Roman" w:hAnsi="Times New Roman"/>
          <w:sz w:val="18"/>
          <w:szCs w:val="18"/>
          <w:color w:val="auto"/>
        </w:rPr>
      </w:pPr>
    </w:p>
    <w:p>
      <w:pPr>
        <w:ind w:left="320" w:right="3760" w:firstLine="163"/>
        <w:spacing w:after="0" w:line="344" w:lineRule="auto"/>
        <w:tabs>
          <w:tab w:leader="none" w:pos="6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unrealized mark-to-market gains on outstanding undesignated commodity hedges. Corporate expense in 2025 included the following:</w:t>
      </w: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million of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$20 million related to cost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certain litigation expenses, including expenses related to Plum;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unrealized mark-to-market gains on outstanding undesignated commodity hedges.</w:t>
      </w:r>
    </w:p>
    <w:p>
      <w:pPr>
        <w:spacing w:after="0" w:line="8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10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of $82 million in 2026 decreased from $88 million in 2025 primarily due to lower levels of debt.</w:t>
      </w:r>
    </w:p>
    <w:p>
      <w:pPr>
        <w:spacing w:after="0" w:line="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Taxes on Earnings</w:t>
      </w:r>
    </w:p>
    <w:p>
      <w:pPr>
        <w:spacing w:after="0" w:line="7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 effective tax rate was 24.9% in 2026 and 30.0% in 2025. The decrease in the effective tax rate was primarily due to $15 million of deferred tax expense recognized related to the sale of the noosa yoghurt business in the prior year, partially offset by lower tax expense associated with stock-based compensation awards in the prior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January 26, 2025</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3,315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1,926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5,241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4"/>
              </w:rPr>
              <w:t>(5)%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4"/>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decreased 4%. Excluding the impact from the divestiture of the noosa yoghurt business, sales decreased primarily due to declines in U.S. soup,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Canada,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beverages and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partially offset by gains in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Unfavorable volume/mix was partially offset by favorable net price realization. Sales were impacted by an approximate 1% headwind as a result of storm-related shipment delays in January. Sales of U.S. soup decreased 3% primarily due to decreases in ready-to-serve soups and condensed soups, partially offset by increases in broth.</w:t>
      </w:r>
    </w:p>
    <w:p>
      <w:pPr>
        <w:spacing w:after="0" w:line="6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Snacks, sales decreased 4%. Excluding the impact from the divestiture of the Pop Secret popcorn business, sales decreased primarily due to declines in chips, third-party partner brands and contract manufacturing, fresh bakery related to supply constraints, and declines in crackers and pretzels, partially offset by gains in Pepperidge Farm cookies. Sales were impacted by volume/mix declines, partially offset by favorable net price realization.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$177 million in 2026 from 2025. As a percent of sales, gross profit declined to 28.8% in 2026 from 30.9% in 2025, due in part to the negative impact of tariffs.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color w:val="auto"/>
        </w:rPr>
        <w:t>The 210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(520)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260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costs associated with cost savings initiatives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(210)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63" w:lineRule="exact"/>
        <w:rPr>
          <w:sz w:val="20"/>
          <w:szCs w:val="20"/>
          <w:color w:val="auto"/>
        </w:rPr>
      </w:pPr>
    </w:p>
    <w:p>
      <w:pPr>
        <w:jc w:val="both"/>
        <w:ind w:left="320" w:hanging="314"/>
        <w:spacing w:after="0" w:line="231" w:lineRule="auto"/>
        <w:tabs>
          <w:tab w:leader="none" w:pos="30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negative margin impact of 220 basis points from the gross impact of tariffs and a negative margin impact of 10 basis points from the change in unrealized mark-to-market adjustments on outstanding undesignated commodity hedges, partially offset by an estimated positive margin impact of 20 basis points from the benefit of cost savings initiatives.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9.6% in 2026 compared to 9.3% in 2025. Marketing and selling expenses were comparable in 2026 and 2025. Lower selling expenses (approximately 2 points) and increased benefits from cost savings initiatives (approximately 1 point) were offset by higher costs associated with costs savings and optimization initiatives (approximately 2 points) and higher benefit-related costs (approximately 1 point).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6.2% in 2026 and 2025. Administrative expenses decreased 4% in 2026 from 2025. The decrease was primarily due to increased benefits from cost savings initiatives (approximately 4 points); lower incentive compensation (approximately 2 points); and lower costs associated with cost savings initiatives (approximately 1 point), partially offset by higher certain litigation expenses (approximately 3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Other expenses were $16 million in 2026 compared to $84 million in 2025. Other expenses in 2026 included costs associated with a pending acquisition of $2 million. Other expenses in 2025 included impairment charges related to the Allied brands and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trademarks of $26 million, a loss of $25 million on the sale of the Pop Secret popcorn business, accelerated amortization expense of $14 million and a postretirement actuarial loss of $2 million.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16% in 2026 from 2025.</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(14)</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(22)</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3"/>
              </w:rPr>
              <w:t>(16)</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decreased 14%. The decrease was primarily due to lower gross profit and the impact of the divestiture. Gross profit margin decreased primarily due to the gross impact of tariffs, cost inflation and other supply chain costs and unfavorable volume/mix, partially offset by supply chain productivity improvements, favorable net price realization and benefits from cost savings initiatives.</w:t>
      </w:r>
    </w:p>
    <w:p>
      <w:pPr>
        <w:spacing w:after="0" w:line="6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Operating earnings from Snacks decreased 22%. The decrease was primarily due to lower gross profit. Gross profit margin decreased primarily due to cost inflation and other supply chain costs, the gross impact of tariffs and unfavorable volume/mix,</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partially offset by supply chain productivity improvements, favorable net price realization and benefits from cost savings initiatives.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2026 included the following:</w:t>
      </w:r>
    </w:p>
    <w:p>
      <w:pPr>
        <w:spacing w:after="0" w:line="85" w:lineRule="exact"/>
        <w:rPr>
          <w:sz w:val="20"/>
          <w:szCs w:val="20"/>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$52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costs associated with a pending acquisition;</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85" w:lineRule="exact"/>
        <w:rPr>
          <w:sz w:val="20"/>
          <w:szCs w:val="20"/>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$49 million related to cost savings and optimization initiatives;</w:t>
      </w:r>
    </w:p>
    <w:p>
      <w:pPr>
        <w:spacing w:after="0" w:line="9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million of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certain litigation expenses, including expenses related to Plum;</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$163 million in 2026 decreased from $175 million in 2025 primarily due to lower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24.5% in 2026 and 26.4% in 2025. The decrease in the effective tax rate was primarily due to $15 million of deferred tax expense related to the sale of the noosa yoghurt business in the prior year and the favorable resolution of certain state tax matters in the current year, partially offset by excess tax benefits in the prior year and shortfalls in the current year associated with the vesting of stock-based compensation awards.</w:t>
      </w:r>
    </w:p>
    <w:p>
      <w:pPr>
        <w:spacing w:after="0" w:line="55" w:lineRule="exact"/>
        <w:rPr>
          <w:sz w:val="20"/>
          <w:szCs w:val="20"/>
          <w:color w:val="auto"/>
        </w:rPr>
      </w:pPr>
    </w:p>
    <w:p>
      <w:pPr>
        <w:ind w:right="5240"/>
        <w:spacing w:after="0" w:line="3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Cost Savings Initiatives and Other Optimization Initiatives </w:t>
      </w:r>
      <w:r>
        <w:rPr>
          <w:rFonts w:ascii="Times New Roman" w:cs="Times New Roman" w:eastAsia="Times New Roman" w:hAnsi="Times New Roman"/>
          <w:sz w:val="18"/>
          <w:szCs w:val="18"/>
          <w:i w:val="1"/>
          <w:iCs w:val="1"/>
          <w:color w:val="auto"/>
        </w:rPr>
        <w:t>2025 Cost Savings Initiatives</w:t>
      </w:r>
    </w:p>
    <w:p>
      <w:pPr>
        <w:spacing w:after="0" w:line="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integrated Sovos Brands, Inc. (Sovos Brands). As of July 28, 2024, we substantially completed our previous multi-year cost savings initiatives and Snyder's-Lance, Inc. cost transformation program and integration and had identified initial opportunities for cost synergies as we integrated Sovos Brands. Certain initiatives from those programs have been incorporated into our 2025 cost savings initiatives. Cost estimates for the 2025 initiatives, as well as timing for certain activities, are continuing to be developed.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76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restart"/>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14"/>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Pr>
          <w:p>
            <w:pPr>
              <w:spacing w:after="0"/>
              <w:rPr>
                <w:sz w:val="9"/>
                <w:szCs w:val="9"/>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40" w:type="dxa"/>
            <w:vAlign w:val="bottom"/>
          </w:tcPr>
          <w:p>
            <w:pPr>
              <w:spacing w:after="0"/>
              <w:rPr>
                <w:sz w:val="9"/>
                <w:szCs w:val="9"/>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40" w:type="dxa"/>
            <w:vAlign w:val="bottom"/>
          </w:tcPr>
          <w:p>
            <w:pPr>
              <w:spacing w:after="0"/>
              <w:rPr>
                <w:sz w:val="9"/>
                <w:szCs w:val="9"/>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40" w:type="dxa"/>
            <w:vAlign w:val="bottom"/>
          </w:tcPr>
          <w:p>
            <w:pPr>
              <w:spacing w:after="0"/>
              <w:rPr>
                <w:sz w:val="9"/>
                <w:szCs w:val="9"/>
                <w:color w:val="auto"/>
              </w:rPr>
            </w:pPr>
          </w:p>
        </w:tc>
        <w:tc>
          <w:tcPr>
            <w:tcW w:w="12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 summary of the cumulative pre-tax costs associated with the initiatives is as follows: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$245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$35 million in severance pay and benefits; approximately $55 million in asset impairment and accelerated depreciation; and approximately $155 million in implementation costs and other related costs. We expect these pre-tax costs to be associated with our segments as follows: Meals &amp; Beverages - approximately 56%; Snacks - approximately 23% and Corporate - approximately 21%.</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$245 million of pre-tax costs identified to date, we expect approximately $185 million will be cash expenditures. In addition, we expect to invest approximately $215 million in capital expenditures, of which we invested $187 million as of February 1, 2026.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$375 million by the end of 2028. As of February 1, 2026, we have generated total program-to-date pre-tax savings of $180 million.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excluding</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such</w:t>
            </w: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charges.</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summary</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pre-tax</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associated</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Pr>
          <w:p>
            <w:pPr>
              <w:spacing w:after="0"/>
              <w:rPr>
                <w:sz w:val="19"/>
                <w:szCs w:val="19"/>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segments</w:t>
            </w:r>
          </w:p>
        </w:tc>
        <w:tc>
          <w:tcPr>
            <w:tcW w:w="32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82"/>
              </w:rPr>
              <w:t>is</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95"/>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9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9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5"/>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1"/>
        </w:trPr>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the third quarter of 2026, we commenced a voluntary early retirement program as part of our cost savings initiatives. The program is available to certain salaried employees who meet age and length-of-service criteria. We currently do not know which employees will elect to participate and therefore are unable to estimate the costs of the program, although we expect these costs to consist primarily of severance pay and benefits, including enhanced pension benefits. We will provide an estimate of the costs expected to be incurred as the program is executed.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February 1, 2026, we incurred $2 million in Marketing and selling expenses related to this initiative. In the six-month periods ended February 1, 2026 and January 26, 2025, we incurred $18 million and $8 million in Marketing and selling expenses related to this initiative, respectively. As of February 1, 2026, we have incurred $43 million in Marketing and selling expenses and $1 million in Administrative expenses related to this initiative.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Future Initiatives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continue to explore additional opportunities for cost savings designed to enhance operating efficiency, which may result in additional restructuring actions in the future.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$740 million in 2026, compared to $737 million in 2025. The increase in 2026 was primarily due to changes in working capital mostly offset by lower cash earnings.</w:t>
      </w:r>
    </w:p>
    <w:p>
      <w:pPr>
        <w:spacing w:after="0" w:line="3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We had positive working capital of $40 million as of February 1, 2026, and negative working capital of $674 million as of August 3, 2025. As of August 3, 2025, current assets were less than current liabilities, which included debt maturing in one year, due to a focus on lowering core working capital requirements. Total debt maturing within one year was $428 million as of February 1, 2026, and $762 million as of August 3, 2025. We have $400 million aggregate principal amount of senior notes maturing in March 2026 that we expect to repay using available resources, which may include cash on hand, commercial paper and/or our revolving credit facility.</w:t>
      </w:r>
    </w:p>
    <w:p>
      <w:pPr>
        <w:spacing w:after="0" w:line="6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regarding these transactions. We have not pledged assets as security or provided any guarantees in connection with these arrangements. The payment of these obligations is included in cash provided by operating activities in the Consolidated Statements of Cash Flows. Our outstanding obligations confirmed as valid under these programs, which are included in Accounts payable on the Consolidated Balance Sheets, were approximately $254 million at February 1, 2026 and $240 million at August 3,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7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$227 million in 2026 and $211 million in 2025. Capital expenditures in 2026 included network optimization for our Meals &amp; Beverages business, information technology projects and wastewater initiatives. Capital expenditures are expected to total approximately $370 million in 2026.</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On February 24, 2025, we sold the noosa yoghurt business for $188 million, subject to certain customary purchase price adjustments, which resulted in $5 million of additional proceeds in the first quarter of 2026.</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$237 million in 2026 and $227 million in 2025. The regular quarterly dividend paid on our capital stock was $.39 per share in both the second quarter of 2026 and 2025. On November 18, 2025, the Board of Directors declared a regular quarterly dividend of $.39 per share payable on February 2, 2026 to shareholders of record at the close of business on January 8, 2026. On February 25, 2026, the Board of Directors declared a regular quarterly dividend of $.39 per share payable on May 4, 2026 to shareholders of record at the close of business on April 2, 2026.</w:t>
      </w:r>
    </w:p>
    <w:p>
      <w:pPr>
        <w:spacing w:after="0" w:line="6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six-month periods ended February 1, 2026 and January 26, 2025, we repurchased 805 thousand shares at a cost of $26 million and 1.134 million shares at a cost of $56 million, respectively, pursuant to our anti-dilutive share repurchase programs. As of February 1, 2026, approximately $172 million remained available under the September 2024 program and approximately $301 million remained available under the September 2021 program. See Note 15 to the Consolidated Financial Statements and “Unregistered Sales of Equity Securities and Use of Proceeds” for additional information.</w:t>
      </w:r>
    </w:p>
    <w:p>
      <w:pPr>
        <w:spacing w:after="0" w:line="7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October 2, 2024, pursuant to the registration statement, we completed the issuance of senior unsecured notes of $1.15 billion, consisting of:</w:t>
      </w:r>
    </w:p>
    <w:p>
      <w:pPr>
        <w:spacing w:after="0" w:line="98" w:lineRule="exact"/>
        <w:rPr>
          <w:sz w:val="20"/>
          <w:szCs w:val="20"/>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6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15, 2025, pursuant to the registration statement, we completed the issuance of senior unsecured notes, consisting of $550 million aggregate principal amount of notes bearing interest at a fixed rate of 4.55% per annum, due March 21, 2031, with interest payable semi-annually on each of March 21 and September 21 commencing March 21, 2026. 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a portion of the proceeds from the issuance of the notes to repay a portion of our outstanding commercial paper and plan to use the remaining proceeds to repay existing indebtedness and for general corporate purposes. We have $400 million aggregate principal amount of senior notes maturing in March 2026 that we expect to repay using available resources, which may include cash on hand, commercial paper and/or our revolving credit facility.</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February 1, 2026, we had $428 million of short-term borrowings due within one year, of which none was comprised of commercial paper borrowings. As of February 1, 2026, we issued $45 million of standby letters of credit.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7" w:name="page38"/>
    <w:bookmarkEnd w:id="37"/>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The 2024 Revolving Credit Facility Agreement remained unused at February 1, 2026,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0"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3, 2025 (2025 Annual Report on Form 10-K). The accounting policies we used in preparing these financial statements are substantially consistent with those we applied in our 2025 Annual Report on Form 10-K. Our critical accounting estimates are described in Management’s Discussion and Analysis included in the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2025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right="160" w:hanging="316"/>
        <w:spacing w:after="0" w:line="243"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volatility in financial markets, deteriorating economic conditions and other external factors, including the impact and application of new or changes to existing governmental laws, regulations, and policies;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imposed and threatened tariffs by the U.S. and reciprocal tariffs by its trading partners;</w:t>
      </w:r>
    </w:p>
    <w:p>
      <w:pPr>
        <w:spacing w:after="0" w:line="97" w:lineRule="exact"/>
        <w:rPr>
          <w:rFonts w:ascii="Times New Roman" w:cs="Times New Roman" w:eastAsia="Times New Roman" w:hAnsi="Times New Roman"/>
          <w:sz w:val="18"/>
          <w:szCs w:val="18"/>
          <w:color w:val="auto"/>
        </w:rPr>
      </w:pPr>
    </w:p>
    <w:p>
      <w:pPr>
        <w:ind w:left="640" w:right="7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 including those related to tariffs;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84" w:lineRule="exact"/>
        <w:rPr>
          <w:rFonts w:ascii="Times New Roman" w:cs="Times New Roman" w:eastAsia="Times New Roman" w:hAnsi="Times New Roman"/>
          <w:sz w:val="18"/>
          <w:szCs w:val="18"/>
          <w:color w:val="auto"/>
        </w:rPr>
      </w:pPr>
    </w:p>
    <w:p>
      <w:pPr>
        <w:ind w:left="640" w:right="560" w:hanging="316"/>
        <w:spacing w:after="0" w:line="25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sales growth in and/or maintenance of our market share position in snacks, soups, sauces and beverages;</w:t>
      </w:r>
    </w:p>
    <w:p>
      <w:pPr>
        <w:spacing w:after="0" w:line="58" w:lineRule="exact"/>
        <w:rPr>
          <w:rFonts w:ascii="Times New Roman" w:cs="Times New Roman" w:eastAsia="Times New Roman" w:hAnsi="Times New Roman"/>
          <w:sz w:val="18"/>
          <w:szCs w:val="18"/>
          <w:color w:val="auto"/>
        </w:rPr>
      </w:pPr>
    </w:p>
    <w:p>
      <w:pPr>
        <w:ind w:left="640" w:right="82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30"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8" w:name="page39"/>
    <w:bookmarkEnd w:id="38"/>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8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savings and any other synergies from the Sovos Brands transaction may not be fully realized or may take longer or cost more to be realized than expected, including that the Sovos Brands transaction may not be accretive to the extent anticipated;</w:t>
      </w:r>
    </w:p>
    <w:p>
      <w:pPr>
        <w:spacing w:after="0" w:line="44" w:lineRule="exact"/>
        <w:rPr>
          <w:rFonts w:ascii="Times New Roman" w:cs="Times New Roman" w:eastAsia="Times New Roman" w:hAnsi="Times New Roman"/>
          <w:sz w:val="18"/>
          <w:szCs w:val="18"/>
          <w:color w:val="auto"/>
        </w:rPr>
      </w:pPr>
    </w:p>
    <w:p>
      <w:pPr>
        <w:ind w:left="640" w:right="20" w:hanging="316"/>
        <w:spacing w:after="0" w:line="25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La Regina transaction, including that the conditions to the completion of the transaction may not be satisfied, the closing of the transaction may not occur or be delayed, and benefits from the transaction may not be fully realized or may take longer or cost more to be realized than expected;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right="86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84"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 and</w:t>
      </w:r>
    </w:p>
    <w:p>
      <w:pPr>
        <w:spacing w:after="0" w:line="97"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4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our 2025 Annual Report on Form 10-K. During the second quarter ended February 1, 2026, we entered into fixed-to-floating interest rate swaps accounted for as fair-value hedges. These instruments have a notional amount of $600 million and effectively convert a portion of our $800 million 4.75% Notes due March 23, 2035 from fixed-rate to variable-rate debt. The fair value of the instruments was a loss of $6 million as of February 1, 2026. There were no fixed-to-floating interest rate swaps outstanding as of August 3,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February 1, 2026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9" w:name="page40"/>
    <w:bookmarkEnd w:id="39"/>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February 1, 2026.</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0" w:name="page41"/>
    <w:bookmarkEnd w:id="4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17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February 1, 2026 was: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1"/>
                <w:szCs w:val="11"/>
                <w:color w:val="auto"/>
              </w:rPr>
            </w:pPr>
          </w:p>
        </w:tc>
        <w:tc>
          <w:tcPr>
            <w:tcW w:w="136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4"/>
                <w:szCs w:val="14"/>
                <w:b w:val="1"/>
                <w:bCs w:val="1"/>
                <w:color w:val="auto"/>
                <w:vertAlign w:val="superscript"/>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2"/>
                <w:szCs w:val="12"/>
                <w:color w:val="auto"/>
              </w:rPr>
            </w:pPr>
          </w:p>
        </w:tc>
        <w:tc>
          <w:tcPr>
            <w:tcW w:w="12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11/3/25 - 11/28/25</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12/1/25 - 12/31/25</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35,250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28.51</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35,250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1/1/26 - 1/30/26</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21,417</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27.30</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21,417</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56,667</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28.05</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56,667</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w w:val="98"/>
              </w:rPr>
              <w:t>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4"/>
        <w:spacing w:after="0"/>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right="100" w:hanging="314"/>
        <w:spacing w:after="0" w:line="224" w:lineRule="auto"/>
        <w:tabs>
          <w:tab w:leader="none" w:pos="3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right="100" w:hanging="314"/>
        <w:spacing w:after="0" w:line="236" w:lineRule="auto"/>
        <w:tabs>
          <w:tab w:leader="none" w:pos="3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right="100"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February 1, 2026,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41" w:name="page42"/>
    <w:bookmarkEnd w:id="41"/>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gridSpan w:val="11"/>
          </w:tcPr>
          <w:p>
            <w:pPr>
              <w:ind w:left="212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gridSpan w:val="1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Sale and Purchase Agreement, dated as of December 8, 2025, by and among Campbell Investment Company, Antonio Romano, Felice</w:t>
              </w:r>
            </w:hyperlink>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100" w:type="dxa"/>
            <w:vAlign w:val="bottom"/>
          </w:tcPr>
          <w:p>
            <w:pPr>
              <w:spacing w:after="0"/>
              <w:rPr>
                <w:sz w:val="13"/>
                <w:szCs w:val="13"/>
                <w:color w:val="auto"/>
              </w:rPr>
            </w:pPr>
          </w:p>
        </w:tc>
        <w:tc>
          <w:tcPr>
            <w:tcW w:w="9900" w:type="dxa"/>
            <w:vAlign w:val="bottom"/>
            <w:gridSpan w:val="13"/>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Romano, Luigi Romano, Natalina Romano, Evolve S.r.l. and F.A.L. Holdings LLC, incorporated by reference to Exhibit 2.1 to Campbell’s</w:t>
              </w:r>
            </w:hyperlink>
          </w:p>
        </w:tc>
      </w:tr>
      <w:tr>
        <w:trPr>
          <w:trHeight w:val="152"/>
        </w:trPr>
        <w:tc>
          <w:tcPr>
            <w:tcW w:w="110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Current Report on Form 8-K (SEC file number 1-3822) filed on December 9, 2025</w:t>
              </w:r>
              <w:r>
                <w:rPr>
                  <w:rFonts w:ascii="Times New Roman" w:cs="Times New Roman" w:eastAsia="Times New Roman" w:hAnsi="Times New Roman"/>
                  <w:sz w:val="17"/>
                  <w:szCs w:val="17"/>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4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Equity Purchase Agreement, dated as of December 8, 2025, by and between Campbell Soup Supply Company LLC and Felix Global</w:t>
              </w:r>
            </w:hyperlink>
          </w:p>
        </w:tc>
        <w:tc>
          <w:tcPr>
            <w:tcW w:w="500" w:type="dxa"/>
            <w:vAlign w:val="bottom"/>
            <w:gridSpan w:val="5"/>
          </w:tcPr>
          <w:p>
            <w:pPr>
              <w:spacing w:after="0"/>
              <w:rPr>
                <w:sz w:val="24"/>
                <w:szCs w:val="24"/>
                <w:color w:val="auto"/>
              </w:rPr>
            </w:pPr>
          </w:p>
        </w:tc>
      </w:tr>
      <w:tr>
        <w:trPr>
          <w:trHeight w:val="152"/>
        </w:trPr>
        <w:tc>
          <w:tcPr>
            <w:tcW w:w="1100" w:type="dxa"/>
            <w:vAlign w:val="bottom"/>
          </w:tcPr>
          <w:p>
            <w:pPr>
              <w:spacing w:after="0"/>
              <w:rPr>
                <w:sz w:val="13"/>
                <w:szCs w:val="13"/>
                <w:color w:val="auto"/>
              </w:rPr>
            </w:pPr>
          </w:p>
        </w:tc>
        <w:tc>
          <w:tcPr>
            <w:tcW w:w="9900" w:type="dxa"/>
            <w:vAlign w:val="bottom"/>
            <w:gridSpan w:val="13"/>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Holdings, Corporation, incorporated by reference to Exhibit 2.2 to Campbell’s Current Report on Form 8-K (SEC file number 1-3822) filed</w:t>
              </w:r>
            </w:hyperlink>
          </w:p>
        </w:tc>
      </w:tr>
      <w:tr>
        <w:trPr>
          <w:trHeight w:val="152"/>
        </w:trPr>
        <w:tc>
          <w:tcPr>
            <w:tcW w:w="1100" w:type="dxa"/>
            <w:vAlign w:val="bottom"/>
          </w:tcPr>
          <w:p>
            <w:pPr>
              <w:spacing w:after="0"/>
              <w:rPr>
                <w:sz w:val="13"/>
                <w:szCs w:val="13"/>
                <w:color w:val="auto"/>
              </w:rPr>
            </w:pPr>
          </w:p>
        </w:tc>
        <w:tc>
          <w:tcPr>
            <w:tcW w:w="988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on December 9, 2025</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gridSpan w:val="13"/>
          </w:tcPr>
          <w:p>
            <w:pPr>
              <w:spacing w:after="0"/>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Form of 2031 Note, incorporated by reference to Exhibit 4.3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86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December 15, 2025</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Certification of Mick J. Beekhuizen pursuant to Rule 13a-14(a).</w:t>
            </w:r>
          </w:p>
        </w:tc>
        <w:tc>
          <w:tcPr>
            <w:tcW w:w="5380" w:type="dxa"/>
            <w:vAlign w:val="bottom"/>
            <w:gridSpan w:val="9"/>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1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Todd E. Cunfer pursuant to 18 U.S.C. Section 1350.</w:t>
            </w:r>
          </w:p>
        </w:tc>
        <w:tc>
          <w:tcPr>
            <w:tcW w:w="4780" w:type="dxa"/>
            <w:vAlign w:val="bottom"/>
            <w:gridSpan w:val="7"/>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4800" w:type="dxa"/>
            <w:vAlign w:val="bottom"/>
            <w:gridSpan w:val="5"/>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40" w:hanging="1103"/>
        <w:spacing w:after="0"/>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82" w:lineRule="exact"/>
        <w:rPr>
          <w:rFonts w:ascii="Times New Roman" w:cs="Times New Roman" w:eastAsia="Times New Roman" w:hAnsi="Times New Roman"/>
          <w:sz w:val="18"/>
          <w:szCs w:val="18"/>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in this document marked with “[</w:t>
      </w:r>
      <w:r>
        <w:rPr>
          <w:rFonts w:ascii="Times New Roman" w:cs="Times New Roman" w:eastAsia="Times New Roman" w:hAnsi="Times New Roman"/>
          <w:sz w:val="18"/>
          <w:szCs w:val="18"/>
          <w:i w:val="1"/>
          <w:iCs w:val="1"/>
          <w:color w:val="auto"/>
        </w:rPr>
        <w:t>Redacted</w:t>
      </w:r>
      <w:r>
        <w:rPr>
          <w:rFonts w:ascii="Times New Roman" w:cs="Times New Roman" w:eastAsia="Times New Roman" w:hAnsi="Times New Roman"/>
          <w:sz w:val="18"/>
          <w:szCs w:val="18"/>
          <w:color w:val="auto"/>
        </w:rPr>
        <w:t>]” has been excluded pursuant to Item 601(b)(2) of Regulation S-K. Such excluded information is not material and is treated by the registrant as private and confidential. An unredacted copy of the document will be furnished supplementally to the SEC upon request. Schedules and exhibits have been omitted pursuant to Item 601(b)(2) of Regulation S-K. A copy of any omitted schedule or exhibit will be furnished supplementally to the SEC upon request.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2" w:name="page43"/>
    <w:bookmarkEnd w:id="4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4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Kelly L. Palumbo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3702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Kelly L. Palumbo</w:t>
      </w:r>
    </w:p>
    <w:p>
      <w:pPr>
        <w:spacing w:after="0" w:line="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874" w:right="4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14605</wp:posOffset>
            </wp:positionV>
            <wp:extent cx="3180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40" w:space="360"/>
            <w:col w:w="5740"/>
          </w:cols>
          <w:pgMar w:left="320" w:top="874" w:right="339" w:bottom="1440"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E. Cunfer, certify that:</w:t>
      </w:r>
    </w:p>
    <w:p>
      <w:pPr>
        <w:spacing w:after="0" w:line="164" w:lineRule="exact"/>
        <w:rPr>
          <w:sz w:val="20"/>
          <w:szCs w:val="20"/>
          <w:color w:val="auto"/>
        </w:rPr>
      </w:pPr>
    </w:p>
    <w:p>
      <w:pPr>
        <w:ind w:left="380" w:hanging="175"/>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Todd E. Cunfer</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30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February 1, 2026 (the “Report”), I, Mick J. Beekhuizen,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14605</wp:posOffset>
            </wp:positionV>
            <wp:extent cx="3155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5060" w:space="36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type w:val="continuous"/>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jc w:val="both"/>
        <w:ind w:right="30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February 1, 2026 (the “Report”), I, Todd E. Cunfer,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Todd E.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E. Cunfer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1."/>
      <w:numFmt w:val="decimal"/>
      <w:start w:val="8"/>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4"/>
    </w:lvl>
  </w:abstractNum>
  <w:abstractNum w:abstractNumId="14">
    <w:nsid w:val="71F32454"/>
    <w:multiLevelType w:val="hybridMultilevel"/>
    <w:lvl w:ilvl="0">
      <w:lvlJc w:val="left"/>
      <w:lvlText w:val="%1."/>
      <w:numFmt w:val="decimal"/>
      <w:start w:val="17"/>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
      <w:numFmt w:val="bullet"/>
      <w:start w:val="1"/>
    </w:lvl>
    <w:lvl w:ilvl="1">
      <w:lvlJc w:val="left"/>
      <w:lvlText w:val="%2"/>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5" Type="http://schemas.openxmlformats.org/officeDocument/2006/relationships/hyperlink" Target="https://www.sec.gov/Archives/edgar/data/16732/000119312525311905/d23938dex21.htm" TargetMode="External"/><Relationship Id="rId66" Type="http://schemas.openxmlformats.org/officeDocument/2006/relationships/hyperlink" Target="https://www.sec.gov/Archives/edgar/data/16732/000119312525311905/d23938dex22.htm" TargetMode="External"/><Relationship Id="rId67" Type="http://schemas.openxmlformats.org/officeDocument/2006/relationships/hyperlink" Target="https://www.sec.gov/Archives/edgar/data/16732/000119312525319210/d91329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2026-03-11T06:27:00Z</dcterms:created>
  <dcterms:modified xsi:type="dcterms:W3CDTF">2026-03-11T06:27:00Z</dcterms:modified>
</cp:coreProperties>
</file>